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2CB" w:rsidRDefault="00CD12CB" w:rsidP="00CD12CB">
      <w:pPr>
        <w:shd w:val="clear" w:color="auto" w:fill="FFFFFF"/>
        <w:spacing w:before="240" w:after="120" w:line="240" w:lineRule="auto"/>
        <w:outlineLvl w:val="0"/>
        <w:rPr>
          <w:rFonts w:ascii="Times New Roman" w:eastAsia="Times New Roman" w:hAnsi="Times New Roman" w:cs="Times New Roman"/>
          <w:color w:val="49595E"/>
          <w:spacing w:val="-1"/>
          <w:kern w:val="36"/>
          <w:sz w:val="72"/>
          <w:szCs w:val="72"/>
        </w:rPr>
      </w:pPr>
      <w:r>
        <w:rPr>
          <w:noProof/>
        </w:rPr>
        <w:drawing>
          <wp:inline distT="0" distB="0" distL="0" distR="0">
            <wp:extent cx="5943600" cy="599440"/>
            <wp:effectExtent l="0" t="0" r="0" b="0"/>
            <wp:docPr id="1" name="Picture 1" descr="https://catalog.arizona.edu/sites/default/files/academic-policies-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talog.arizona.edu/sites/default/files/academic-policies-bann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599440"/>
                    </a:xfrm>
                    <a:prstGeom prst="rect">
                      <a:avLst/>
                    </a:prstGeom>
                    <a:noFill/>
                    <a:ln>
                      <a:noFill/>
                    </a:ln>
                  </pic:spPr>
                </pic:pic>
              </a:graphicData>
            </a:graphic>
          </wp:inline>
        </w:drawing>
      </w:r>
    </w:p>
    <w:p w:rsidR="00CD12CB" w:rsidRPr="00CD12CB" w:rsidRDefault="00CD12CB" w:rsidP="00CD12CB">
      <w:pPr>
        <w:shd w:val="clear" w:color="auto" w:fill="FFFFFF"/>
        <w:spacing w:before="240" w:after="120" w:line="240" w:lineRule="auto"/>
        <w:outlineLvl w:val="0"/>
        <w:rPr>
          <w:rFonts w:ascii="Times New Roman" w:eastAsia="Times New Roman" w:hAnsi="Times New Roman" w:cs="Times New Roman"/>
          <w:color w:val="49595E"/>
          <w:spacing w:val="-1"/>
          <w:kern w:val="36"/>
          <w:sz w:val="40"/>
          <w:szCs w:val="40"/>
        </w:rPr>
      </w:pPr>
      <w:r w:rsidRPr="00CD12CB">
        <w:rPr>
          <w:rFonts w:ascii="Times New Roman" w:eastAsia="Times New Roman" w:hAnsi="Times New Roman" w:cs="Times New Roman"/>
          <w:color w:val="49595E"/>
          <w:spacing w:val="-1"/>
          <w:kern w:val="36"/>
          <w:sz w:val="40"/>
          <w:szCs w:val="40"/>
        </w:rPr>
        <w:t>Graduation Grade Averages and Credit Requirements</w:t>
      </w:r>
    </w:p>
    <w:p w:rsidR="00CD12CB" w:rsidRPr="00CD12CB" w:rsidRDefault="00CD12CB" w:rsidP="00CD12CB">
      <w:pPr>
        <w:spacing w:before="240" w:after="120" w:line="240" w:lineRule="auto"/>
        <w:outlineLvl w:val="2"/>
        <w:rPr>
          <w:rFonts w:ascii="Verdana" w:eastAsia="Times New Roman" w:hAnsi="Verdana" w:cs="Times New Roman"/>
          <w:color w:val="49595E"/>
          <w:sz w:val="28"/>
          <w:szCs w:val="28"/>
        </w:rPr>
      </w:pPr>
      <w:r w:rsidRPr="00CD12CB">
        <w:rPr>
          <w:rFonts w:ascii="Verdana" w:eastAsia="Times New Roman" w:hAnsi="Verdana" w:cs="Times New Roman"/>
          <w:color w:val="49595E"/>
          <w:sz w:val="28"/>
          <w:szCs w:val="28"/>
        </w:rPr>
        <w:t>Graduation Average</w:t>
      </w:r>
    </w:p>
    <w:p w:rsidR="00CD12CB" w:rsidRPr="00CD12CB" w:rsidRDefault="00CD12CB" w:rsidP="00CD12CB">
      <w:pPr>
        <w:spacing w:after="180" w:line="240" w:lineRule="auto"/>
        <w:rPr>
          <w:rFonts w:ascii="Times New Roman" w:eastAsia="Times New Roman" w:hAnsi="Times New Roman" w:cs="Times New Roman"/>
          <w:sz w:val="24"/>
          <w:szCs w:val="24"/>
        </w:rPr>
      </w:pPr>
      <w:r w:rsidRPr="00CD12CB">
        <w:rPr>
          <w:rFonts w:ascii="Times New Roman" w:eastAsia="Times New Roman" w:hAnsi="Times New Roman" w:cs="Times New Roman"/>
          <w:sz w:val="24"/>
          <w:szCs w:val="24"/>
        </w:rPr>
        <w:t>A graduation average of 2.000 for all University Credit course work undertaken and for any work satisfied by the Special Examination for Grade is required for the bachelor's degree. Note: The graduation grade average is based only on </w:t>
      </w:r>
      <w:hyperlink r:id="rId5" w:history="1">
        <w:r w:rsidRPr="00CD12CB">
          <w:rPr>
            <w:rFonts w:ascii="Times New Roman" w:eastAsia="Times New Roman" w:hAnsi="Times New Roman" w:cs="Times New Roman"/>
            <w:b/>
            <w:bCs/>
            <w:color w:val="8F1124"/>
            <w:sz w:val="24"/>
            <w:szCs w:val="24"/>
            <w:u w:val="single"/>
          </w:rPr>
          <w:t>University Credit</w:t>
        </w:r>
      </w:hyperlink>
      <w:r>
        <w:rPr>
          <w:rFonts w:ascii="Times New Roman" w:eastAsia="Times New Roman" w:hAnsi="Times New Roman" w:cs="Times New Roman"/>
          <w:sz w:val="24"/>
          <w:szCs w:val="24"/>
        </w:rPr>
        <w:t xml:space="preserve"> </w:t>
      </w:r>
      <w:r w:rsidRPr="00CD12CB">
        <w:rPr>
          <w:rFonts w:ascii="Times New Roman" w:eastAsia="Times New Roman" w:hAnsi="Times New Roman" w:cs="Times New Roman"/>
          <w:sz w:val="24"/>
          <w:szCs w:val="24"/>
        </w:rPr>
        <w:t>grades awarded prior to the graduation date, when all degree requirements have been satisfied.</w:t>
      </w:r>
    </w:p>
    <w:p w:rsidR="00CD12CB" w:rsidRPr="00CD12CB" w:rsidRDefault="00CD12CB" w:rsidP="00CD12CB">
      <w:pPr>
        <w:spacing w:before="240" w:after="120" w:line="240" w:lineRule="auto"/>
        <w:outlineLvl w:val="2"/>
        <w:rPr>
          <w:rFonts w:ascii="Verdana" w:eastAsia="Times New Roman" w:hAnsi="Verdana" w:cs="Times New Roman"/>
          <w:color w:val="49595E"/>
          <w:sz w:val="28"/>
          <w:szCs w:val="28"/>
        </w:rPr>
      </w:pPr>
      <w:r w:rsidRPr="00CD12CB">
        <w:rPr>
          <w:rFonts w:ascii="Verdana" w:eastAsia="Times New Roman" w:hAnsi="Verdana" w:cs="Times New Roman"/>
          <w:color w:val="49595E"/>
          <w:sz w:val="28"/>
          <w:szCs w:val="28"/>
        </w:rPr>
        <w:t>Major Average and University Credit Requirement</w:t>
      </w:r>
    </w:p>
    <w:p w:rsidR="00CD12CB" w:rsidRPr="00CD12CB" w:rsidRDefault="00CD12CB" w:rsidP="00CD12CB">
      <w:pPr>
        <w:spacing w:after="180" w:line="240" w:lineRule="auto"/>
        <w:rPr>
          <w:rFonts w:ascii="Times New Roman" w:eastAsia="Times New Roman" w:hAnsi="Times New Roman" w:cs="Times New Roman"/>
          <w:sz w:val="24"/>
          <w:szCs w:val="24"/>
        </w:rPr>
      </w:pPr>
      <w:r w:rsidRPr="00CD12CB">
        <w:rPr>
          <w:rFonts w:ascii="Times New Roman" w:eastAsia="Times New Roman" w:hAnsi="Times New Roman" w:cs="Times New Roman"/>
          <w:sz w:val="24"/>
          <w:szCs w:val="24"/>
        </w:rPr>
        <w:t>Majors for undergraduate degrees require a 2.000 or better grade point average (GPA) for all University Credit work in the major as defined on the Academic Advisement Report or for any work in the major satisfied by the Special Examination for Grade. All grades for repeated courses will be calculated in the major GPA, with the exception of grades that have been replaced by the </w:t>
      </w:r>
      <w:hyperlink r:id="rId6" w:history="1">
        <w:r w:rsidRPr="00CD12CB">
          <w:rPr>
            <w:rFonts w:ascii="Times New Roman" w:eastAsia="Times New Roman" w:hAnsi="Times New Roman" w:cs="Times New Roman"/>
            <w:b/>
            <w:bCs/>
            <w:color w:val="8F1124"/>
            <w:sz w:val="24"/>
            <w:szCs w:val="24"/>
            <w:u w:val="single"/>
          </w:rPr>
          <w:t>Grade Replacement Opportunity (GRO)</w:t>
        </w:r>
      </w:hyperlink>
      <w:r w:rsidRPr="00CD12CB">
        <w:rPr>
          <w:rFonts w:ascii="Times New Roman" w:eastAsia="Times New Roman" w:hAnsi="Times New Roman" w:cs="Times New Roman"/>
          <w:sz w:val="24"/>
          <w:szCs w:val="24"/>
        </w:rPr>
        <w:t> and those removed from the grade point average through </w:t>
      </w:r>
      <w:hyperlink r:id="rId7" w:history="1">
        <w:r w:rsidRPr="00CD12CB">
          <w:rPr>
            <w:rFonts w:ascii="Times New Roman" w:eastAsia="Times New Roman" w:hAnsi="Times New Roman" w:cs="Times New Roman"/>
            <w:b/>
            <w:bCs/>
            <w:color w:val="8F1124"/>
            <w:sz w:val="24"/>
            <w:szCs w:val="24"/>
            <w:u w:val="single"/>
          </w:rPr>
          <w:t>Second Start</w:t>
        </w:r>
      </w:hyperlink>
      <w:r w:rsidRPr="00CD12CB">
        <w:rPr>
          <w:rFonts w:ascii="Times New Roman" w:eastAsia="Times New Roman" w:hAnsi="Times New Roman" w:cs="Times New Roman"/>
          <w:sz w:val="24"/>
          <w:szCs w:val="24"/>
        </w:rPr>
        <w:t> or </w:t>
      </w:r>
      <w:hyperlink r:id="rId8" w:history="1">
        <w:r w:rsidRPr="00CD12CB">
          <w:rPr>
            <w:rFonts w:ascii="Times New Roman" w:eastAsia="Times New Roman" w:hAnsi="Times New Roman" w:cs="Times New Roman"/>
            <w:b/>
            <w:bCs/>
            <w:color w:val="8F1124"/>
            <w:sz w:val="24"/>
            <w:szCs w:val="24"/>
            <w:u w:val="single"/>
          </w:rPr>
          <w:t>Academic Renewal</w:t>
        </w:r>
      </w:hyperlink>
      <w:r w:rsidRPr="00CD12CB">
        <w:rPr>
          <w:rFonts w:ascii="Times New Roman" w:eastAsia="Times New Roman" w:hAnsi="Times New Roman" w:cs="Times New Roman"/>
          <w:sz w:val="24"/>
          <w:szCs w:val="24"/>
        </w:rPr>
        <w:t>.</w:t>
      </w:r>
    </w:p>
    <w:p w:rsidR="00CD12CB" w:rsidRPr="00CD12CB" w:rsidRDefault="00CD12CB" w:rsidP="00CD12CB">
      <w:pPr>
        <w:spacing w:after="180" w:line="240" w:lineRule="auto"/>
        <w:rPr>
          <w:rFonts w:ascii="Times New Roman" w:eastAsia="Times New Roman" w:hAnsi="Times New Roman" w:cs="Times New Roman"/>
          <w:sz w:val="24"/>
          <w:szCs w:val="24"/>
        </w:rPr>
      </w:pPr>
      <w:r w:rsidRPr="00CD12CB">
        <w:rPr>
          <w:rFonts w:ascii="Times New Roman" w:eastAsia="Times New Roman" w:hAnsi="Times New Roman" w:cs="Times New Roman"/>
          <w:sz w:val="24"/>
          <w:szCs w:val="24"/>
        </w:rPr>
        <w:t>Major course work should include no fewer than 18 units of University Credit. Major course work is defined as the major, pre-major, and/or professional core. Departments may also include supporting foundation course work in the major as appropriate. This requirement applies to all majors in the student's academic program.</w:t>
      </w:r>
    </w:p>
    <w:p w:rsidR="00CD12CB" w:rsidRPr="00CD12CB" w:rsidRDefault="00CD12CB" w:rsidP="00CD12CB">
      <w:pPr>
        <w:spacing w:after="180" w:line="240" w:lineRule="auto"/>
        <w:rPr>
          <w:rFonts w:ascii="Times New Roman" w:eastAsia="Times New Roman" w:hAnsi="Times New Roman" w:cs="Times New Roman"/>
          <w:sz w:val="24"/>
          <w:szCs w:val="24"/>
        </w:rPr>
      </w:pPr>
      <w:r w:rsidRPr="00CD12CB">
        <w:rPr>
          <w:rFonts w:ascii="Times New Roman" w:eastAsia="Times New Roman" w:hAnsi="Times New Roman" w:cs="Times New Roman"/>
          <w:sz w:val="24"/>
          <w:szCs w:val="24"/>
        </w:rPr>
        <w:t>For Bachelor of Arts (BA) and Bachelor of Science (BS) Degrees offered in the College of Humanities and College of Social &amp; Behavioral Sciences, no more than 48 units in the major discipline may be applied toward the degree. Excluded from the 48-unit maximum are first-year English composition, the first year (elementary level) of a foreign language, and courses cross-listed with a second academic department if the latter is the home department.</w:t>
      </w:r>
    </w:p>
    <w:p w:rsidR="00CD12CB" w:rsidRPr="00CD12CB" w:rsidRDefault="00CD12CB" w:rsidP="00CD12CB">
      <w:pPr>
        <w:spacing w:after="180" w:line="240" w:lineRule="auto"/>
        <w:rPr>
          <w:rFonts w:ascii="Times New Roman" w:eastAsia="Times New Roman" w:hAnsi="Times New Roman" w:cs="Times New Roman"/>
          <w:sz w:val="24"/>
          <w:szCs w:val="24"/>
        </w:rPr>
      </w:pPr>
      <w:r w:rsidRPr="00CD12CB">
        <w:rPr>
          <w:rFonts w:ascii="Times New Roman" w:eastAsia="Times New Roman" w:hAnsi="Times New Roman" w:cs="Times New Roman"/>
          <w:sz w:val="24"/>
          <w:szCs w:val="24"/>
        </w:rPr>
        <w:t>The double use of courses in the major with other degree requirements is subject to University General Education, college, and department policies on double dipping. See the </w:t>
      </w:r>
      <w:hyperlink r:id="rId9" w:history="1">
        <w:r w:rsidRPr="00CD12CB">
          <w:rPr>
            <w:rFonts w:ascii="Times New Roman" w:eastAsia="Times New Roman" w:hAnsi="Times New Roman" w:cs="Times New Roman"/>
            <w:b/>
            <w:bCs/>
            <w:color w:val="8F1124"/>
            <w:sz w:val="24"/>
            <w:szCs w:val="24"/>
            <w:u w:val="single"/>
          </w:rPr>
          <w:t>General Education policy</w:t>
        </w:r>
      </w:hyperlink>
      <w:r w:rsidRPr="00CD12CB">
        <w:rPr>
          <w:rFonts w:ascii="Times New Roman" w:eastAsia="Times New Roman" w:hAnsi="Times New Roman" w:cs="Times New Roman"/>
          <w:sz w:val="24"/>
          <w:szCs w:val="24"/>
        </w:rPr>
        <w:t> and check with your major AND minor advisors for clarification on the double use of any courses. See the Catalog's majors section for a list of approved </w:t>
      </w:r>
      <w:hyperlink r:id="rId10" w:tgtFrame="_blank" w:history="1">
        <w:r w:rsidRPr="00CD12CB">
          <w:rPr>
            <w:rFonts w:ascii="Times New Roman" w:eastAsia="Times New Roman" w:hAnsi="Times New Roman" w:cs="Times New Roman"/>
            <w:b/>
            <w:bCs/>
            <w:color w:val="8F1124"/>
            <w:sz w:val="24"/>
            <w:szCs w:val="24"/>
            <w:u w:val="single"/>
          </w:rPr>
          <w:t>majors</w:t>
        </w:r>
        <w:r w:rsidRPr="00CD12CB">
          <w:rPr>
            <w:rFonts w:ascii="Times New Roman" w:eastAsia="Times New Roman" w:hAnsi="Times New Roman" w:cs="Times New Roman"/>
            <w:b/>
            <w:bCs/>
            <w:color w:val="8F1124"/>
            <w:sz w:val="24"/>
            <w:szCs w:val="24"/>
          </w:rPr>
          <w:t xml:space="preserve"> (link is external)</w:t>
        </w:r>
      </w:hyperlink>
      <w:r w:rsidRPr="00CD12CB">
        <w:rPr>
          <w:rFonts w:ascii="Times New Roman" w:eastAsia="Times New Roman" w:hAnsi="Times New Roman" w:cs="Times New Roman"/>
          <w:sz w:val="24"/>
          <w:szCs w:val="24"/>
        </w:rPr>
        <w:t> with links to their respective requirements.</w:t>
      </w:r>
    </w:p>
    <w:p w:rsidR="00CD12CB" w:rsidRPr="00CD12CB" w:rsidRDefault="00CD12CB" w:rsidP="00CD12CB">
      <w:pPr>
        <w:spacing w:before="240" w:after="120" w:line="240" w:lineRule="auto"/>
        <w:outlineLvl w:val="2"/>
        <w:rPr>
          <w:rFonts w:ascii="Verdana" w:eastAsia="Times New Roman" w:hAnsi="Verdana" w:cs="Times New Roman"/>
          <w:color w:val="49595E"/>
          <w:sz w:val="28"/>
          <w:szCs w:val="28"/>
        </w:rPr>
      </w:pPr>
      <w:r w:rsidRPr="00CD12CB">
        <w:rPr>
          <w:rFonts w:ascii="Verdana" w:eastAsia="Times New Roman" w:hAnsi="Verdana" w:cs="Times New Roman"/>
          <w:color w:val="49595E"/>
          <w:sz w:val="28"/>
          <w:szCs w:val="28"/>
        </w:rPr>
        <w:t>Averaging of Grade for Final Non-University Credit Course</w:t>
      </w:r>
    </w:p>
    <w:p w:rsidR="00CD12CB" w:rsidRPr="00CD12CB" w:rsidRDefault="00CD12CB" w:rsidP="00CD12CB">
      <w:pPr>
        <w:spacing w:after="180" w:line="240" w:lineRule="auto"/>
        <w:rPr>
          <w:rFonts w:ascii="Times New Roman" w:eastAsia="Times New Roman" w:hAnsi="Times New Roman" w:cs="Times New Roman"/>
          <w:sz w:val="24"/>
          <w:szCs w:val="24"/>
        </w:rPr>
      </w:pPr>
      <w:r w:rsidRPr="00CD12CB">
        <w:rPr>
          <w:rFonts w:ascii="Times New Roman" w:eastAsia="Times New Roman" w:hAnsi="Times New Roman" w:cs="Times New Roman"/>
          <w:sz w:val="24"/>
          <w:szCs w:val="24"/>
        </w:rPr>
        <w:t xml:space="preserve">Students who lack not more than a one-semester course toward the fulfillment of curriculum and minimum-graduation-average requirements, may apply as the final course to complete the degree, a single one-semester course in residence at another accredited institution. The graduation GPA shown on the transcript will include the grade from the approved course taken in absentia. An anecdotal note will be added to the transcript explaining the difference between the graduation GPA and the cumulative GPA, which will not reflect the course taken in absentia. </w:t>
      </w:r>
      <w:r w:rsidRPr="00CD12CB">
        <w:rPr>
          <w:rFonts w:ascii="Times New Roman" w:eastAsia="Times New Roman" w:hAnsi="Times New Roman" w:cs="Times New Roman"/>
          <w:sz w:val="24"/>
          <w:szCs w:val="24"/>
        </w:rPr>
        <w:lastRenderedPageBreak/>
        <w:t>Permission must be obtained from the academic dean, prior to enrolling for the course, to apply the grade received in such a course toward the graduation average. This provision may be applied also to the required separate average of 2.000 in the major field if prior permission is obtained from the major </w:t>
      </w:r>
      <w:hyperlink r:id="rId11" w:tgtFrame="_blank" w:history="1">
        <w:r w:rsidRPr="00CD12CB">
          <w:rPr>
            <w:rFonts w:ascii="Times New Roman" w:eastAsia="Times New Roman" w:hAnsi="Times New Roman" w:cs="Times New Roman"/>
            <w:b/>
            <w:bCs/>
            <w:color w:val="8F1124"/>
            <w:sz w:val="24"/>
            <w:szCs w:val="24"/>
            <w:u w:val="single"/>
          </w:rPr>
          <w:t>advisor</w:t>
        </w:r>
        <w:r w:rsidRPr="00CD12CB">
          <w:rPr>
            <w:rFonts w:ascii="Times New Roman" w:eastAsia="Times New Roman" w:hAnsi="Times New Roman" w:cs="Times New Roman"/>
            <w:b/>
            <w:bCs/>
            <w:color w:val="8F1124"/>
            <w:sz w:val="24"/>
            <w:szCs w:val="24"/>
          </w:rPr>
          <w:t xml:space="preserve"> (link is external)</w:t>
        </w:r>
      </w:hyperlink>
      <w:r w:rsidRPr="00CD12CB">
        <w:rPr>
          <w:rFonts w:ascii="Times New Roman" w:eastAsia="Times New Roman" w:hAnsi="Times New Roman" w:cs="Times New Roman"/>
          <w:sz w:val="24"/>
          <w:szCs w:val="24"/>
        </w:rPr>
        <w:t> and the academic dean.</w:t>
      </w:r>
    </w:p>
    <w:p w:rsidR="00CD12CB" w:rsidRPr="00CD12CB" w:rsidRDefault="00CD12CB" w:rsidP="00CD12CB">
      <w:pPr>
        <w:spacing w:before="240" w:after="120" w:line="240" w:lineRule="auto"/>
        <w:outlineLvl w:val="2"/>
        <w:rPr>
          <w:rFonts w:ascii="Verdana" w:eastAsia="Times New Roman" w:hAnsi="Verdana" w:cs="Times New Roman"/>
          <w:color w:val="49595E"/>
          <w:sz w:val="28"/>
          <w:szCs w:val="28"/>
        </w:rPr>
      </w:pPr>
      <w:r w:rsidRPr="00CD12CB">
        <w:rPr>
          <w:rFonts w:ascii="Verdana" w:eastAsia="Times New Roman" w:hAnsi="Verdana" w:cs="Times New Roman"/>
          <w:color w:val="49595E"/>
          <w:sz w:val="28"/>
          <w:szCs w:val="28"/>
        </w:rPr>
        <w:t>University Credit Requirement</w:t>
      </w:r>
    </w:p>
    <w:p w:rsidR="00CD12CB" w:rsidRPr="00CD12CB" w:rsidRDefault="00CD12CB" w:rsidP="00CD12CB">
      <w:pPr>
        <w:spacing w:after="180" w:line="240" w:lineRule="auto"/>
        <w:rPr>
          <w:rFonts w:ascii="Times New Roman" w:eastAsia="Times New Roman" w:hAnsi="Times New Roman" w:cs="Times New Roman"/>
          <w:sz w:val="24"/>
          <w:szCs w:val="24"/>
        </w:rPr>
      </w:pPr>
      <w:r w:rsidRPr="00CD12CB">
        <w:rPr>
          <w:rFonts w:ascii="Times New Roman" w:eastAsia="Times New Roman" w:hAnsi="Times New Roman" w:cs="Times New Roman"/>
          <w:sz w:val="24"/>
          <w:szCs w:val="24"/>
        </w:rPr>
        <w:t>A minimum of 30 units of </w:t>
      </w:r>
      <w:hyperlink r:id="rId12" w:history="1">
        <w:r w:rsidRPr="00CD12CB">
          <w:rPr>
            <w:rFonts w:ascii="Times New Roman" w:eastAsia="Times New Roman" w:hAnsi="Times New Roman" w:cs="Times New Roman"/>
            <w:b/>
            <w:bCs/>
            <w:color w:val="8F1124"/>
            <w:sz w:val="24"/>
            <w:szCs w:val="24"/>
            <w:u w:val="single"/>
          </w:rPr>
          <w:t>University Credit</w:t>
        </w:r>
      </w:hyperlink>
      <w:r w:rsidRPr="00CD12CB">
        <w:rPr>
          <w:rFonts w:ascii="Times New Roman" w:eastAsia="Times New Roman" w:hAnsi="Times New Roman" w:cs="Times New Roman"/>
          <w:sz w:val="24"/>
          <w:szCs w:val="24"/>
        </w:rPr>
        <w:t> from The University of Arizona is required for the bachelor's degree. It is further required that 18 of the final 30 units offered toward the degree be University Credit. Various departments have specific University Credit requirements for their majors, and students should consult individual </w:t>
      </w:r>
      <w:hyperlink r:id="rId13" w:tgtFrame="_blank" w:history="1">
        <w:r w:rsidRPr="00CD12CB">
          <w:rPr>
            <w:rFonts w:ascii="Times New Roman" w:eastAsia="Times New Roman" w:hAnsi="Times New Roman" w:cs="Times New Roman"/>
            <w:b/>
            <w:bCs/>
            <w:color w:val="8F1124"/>
            <w:sz w:val="24"/>
            <w:szCs w:val="24"/>
            <w:u w:val="single"/>
          </w:rPr>
          <w:t>departmental information</w:t>
        </w:r>
        <w:r w:rsidRPr="00CD12CB">
          <w:rPr>
            <w:rFonts w:ascii="Times New Roman" w:eastAsia="Times New Roman" w:hAnsi="Times New Roman" w:cs="Times New Roman"/>
            <w:b/>
            <w:bCs/>
            <w:color w:val="8F1124"/>
            <w:sz w:val="24"/>
            <w:szCs w:val="24"/>
          </w:rPr>
          <w:t xml:space="preserve"> (link is external)</w:t>
        </w:r>
      </w:hyperlink>
      <w:r w:rsidRPr="00CD12CB">
        <w:rPr>
          <w:rFonts w:ascii="Times New Roman" w:eastAsia="Times New Roman" w:hAnsi="Times New Roman" w:cs="Times New Roman"/>
          <w:sz w:val="24"/>
          <w:szCs w:val="24"/>
        </w:rPr>
        <w:t> sections for this information.</w:t>
      </w:r>
    </w:p>
    <w:p w:rsidR="00CD12CB" w:rsidRPr="00CD12CB" w:rsidRDefault="00CD12CB" w:rsidP="00CD12CB">
      <w:pPr>
        <w:spacing w:before="240" w:after="120" w:line="240" w:lineRule="auto"/>
        <w:outlineLvl w:val="2"/>
        <w:rPr>
          <w:rFonts w:ascii="Verdana" w:eastAsia="Times New Roman" w:hAnsi="Verdana" w:cs="Times New Roman"/>
          <w:color w:val="49595E"/>
          <w:sz w:val="28"/>
          <w:szCs w:val="28"/>
        </w:rPr>
      </w:pPr>
      <w:r w:rsidRPr="00CD12CB">
        <w:rPr>
          <w:rFonts w:ascii="Verdana" w:eastAsia="Times New Roman" w:hAnsi="Verdana" w:cs="Times New Roman"/>
          <w:color w:val="49595E"/>
          <w:sz w:val="28"/>
          <w:szCs w:val="28"/>
        </w:rPr>
        <w:t>Upper-Division Unit Requirement</w:t>
      </w:r>
    </w:p>
    <w:p w:rsidR="00CD12CB" w:rsidRPr="00CD12CB" w:rsidRDefault="00CD12CB" w:rsidP="00CD12CB">
      <w:pPr>
        <w:spacing w:after="180" w:line="240" w:lineRule="auto"/>
        <w:rPr>
          <w:rFonts w:ascii="Times New Roman" w:eastAsia="Times New Roman" w:hAnsi="Times New Roman" w:cs="Times New Roman"/>
          <w:sz w:val="24"/>
          <w:szCs w:val="24"/>
        </w:rPr>
      </w:pPr>
      <w:r w:rsidRPr="00CD12CB">
        <w:rPr>
          <w:rFonts w:ascii="Times New Roman" w:eastAsia="Times New Roman" w:hAnsi="Times New Roman" w:cs="Times New Roman"/>
          <w:sz w:val="24"/>
          <w:szCs w:val="24"/>
        </w:rPr>
        <w:t>The University of Arizona recognizes both breadth and depth of knowledge as important characteristics of a baccalaureate degree. To insure depth of study beyond introductory levels, the University has a general policy requiring students to complete a minimum of 42 units of upper-division course work for graduation. This requirement applies to students graduating under the 1991-93 catalog or any subsequent catalog. The special requirements of some academic programs may necessitate an exception to this requirement. Some degree programs require fewer than 42 units of upper-division credit. For current information, students should consult their advisors, the </w:t>
      </w:r>
      <w:hyperlink r:id="rId14" w:tgtFrame="_blank" w:history="1">
        <w:r w:rsidRPr="00CD12CB">
          <w:rPr>
            <w:rFonts w:ascii="Times New Roman" w:eastAsia="Times New Roman" w:hAnsi="Times New Roman" w:cs="Times New Roman"/>
            <w:b/>
            <w:bCs/>
            <w:color w:val="8F1124"/>
            <w:sz w:val="24"/>
            <w:szCs w:val="24"/>
            <w:u w:val="single"/>
          </w:rPr>
          <w:t>department</w:t>
        </w:r>
        <w:r w:rsidRPr="00CD12CB">
          <w:rPr>
            <w:rFonts w:ascii="Times New Roman" w:eastAsia="Times New Roman" w:hAnsi="Times New Roman" w:cs="Times New Roman"/>
            <w:b/>
            <w:bCs/>
            <w:color w:val="8F1124"/>
            <w:sz w:val="24"/>
            <w:szCs w:val="24"/>
          </w:rPr>
          <w:t> (link is external)</w:t>
        </w:r>
      </w:hyperlink>
      <w:r>
        <w:rPr>
          <w:rFonts w:ascii="Times New Roman" w:eastAsia="Times New Roman" w:hAnsi="Times New Roman" w:cs="Times New Roman"/>
          <w:sz w:val="24"/>
          <w:szCs w:val="24"/>
        </w:rPr>
        <w:t xml:space="preserve"> </w:t>
      </w:r>
      <w:r w:rsidRPr="00CD12CB">
        <w:rPr>
          <w:rFonts w:ascii="Times New Roman" w:eastAsia="Times New Roman" w:hAnsi="Times New Roman" w:cs="Times New Roman"/>
          <w:sz w:val="24"/>
          <w:szCs w:val="24"/>
        </w:rPr>
        <w:t>which offers their major, or the </w:t>
      </w:r>
      <w:hyperlink r:id="rId15" w:tgtFrame="_blank" w:history="1">
        <w:r w:rsidRPr="00CD12CB">
          <w:rPr>
            <w:rFonts w:ascii="Times New Roman" w:eastAsia="Times New Roman" w:hAnsi="Times New Roman" w:cs="Times New Roman"/>
            <w:b/>
            <w:bCs/>
            <w:color w:val="8F1124"/>
            <w:sz w:val="24"/>
            <w:szCs w:val="24"/>
            <w:u w:val="single"/>
          </w:rPr>
          <w:t>Academic Advisement Report</w:t>
        </w:r>
        <w:r w:rsidRPr="00CD12CB">
          <w:rPr>
            <w:rFonts w:ascii="Times New Roman" w:eastAsia="Times New Roman" w:hAnsi="Times New Roman" w:cs="Times New Roman"/>
            <w:b/>
            <w:bCs/>
            <w:color w:val="8F1124"/>
            <w:sz w:val="24"/>
            <w:szCs w:val="24"/>
          </w:rPr>
          <w:t xml:space="preserve"> (link is external)</w:t>
        </w:r>
      </w:hyperlink>
      <w:r w:rsidRPr="00CD12CB">
        <w:rPr>
          <w:rFonts w:ascii="Times New Roman" w:eastAsia="Times New Roman" w:hAnsi="Times New Roman" w:cs="Times New Roman"/>
          <w:sz w:val="24"/>
          <w:szCs w:val="24"/>
        </w:rPr>
        <w:t> for their major to determine if their degree program may require fewer than 42 units of upper-division credit.</w:t>
      </w:r>
    </w:p>
    <w:p w:rsidR="00CD12CB" w:rsidRPr="00CD12CB" w:rsidRDefault="00CD12CB" w:rsidP="00CD12CB">
      <w:pPr>
        <w:spacing w:before="240" w:after="120" w:line="240" w:lineRule="auto"/>
        <w:outlineLvl w:val="2"/>
        <w:rPr>
          <w:rFonts w:ascii="Verdana" w:eastAsia="Times New Roman" w:hAnsi="Verdana" w:cs="Times New Roman"/>
          <w:color w:val="49595E"/>
          <w:sz w:val="28"/>
          <w:szCs w:val="28"/>
        </w:rPr>
      </w:pPr>
      <w:r w:rsidRPr="00CD12CB">
        <w:rPr>
          <w:rFonts w:ascii="Verdana" w:eastAsia="Times New Roman" w:hAnsi="Verdana" w:cs="Times New Roman"/>
          <w:color w:val="49595E"/>
          <w:sz w:val="28"/>
          <w:szCs w:val="28"/>
        </w:rPr>
        <w:t>Elective Credit Maximums</w:t>
      </w:r>
    </w:p>
    <w:p w:rsidR="00CD12CB" w:rsidRPr="00CD12CB" w:rsidRDefault="00CD12CB" w:rsidP="00CD12CB">
      <w:pPr>
        <w:spacing w:after="180" w:line="240" w:lineRule="auto"/>
        <w:rPr>
          <w:rFonts w:ascii="Times New Roman" w:eastAsia="Times New Roman" w:hAnsi="Times New Roman" w:cs="Times New Roman"/>
          <w:sz w:val="24"/>
          <w:szCs w:val="24"/>
        </w:rPr>
      </w:pPr>
      <w:r w:rsidRPr="00CD12CB">
        <w:rPr>
          <w:rFonts w:ascii="Times New Roman" w:eastAsia="Times New Roman" w:hAnsi="Times New Roman" w:cs="Times New Roman"/>
          <w:sz w:val="24"/>
          <w:szCs w:val="24"/>
        </w:rPr>
        <w:t>No more than three (3) Physical Education activity credits and no more than three (3) </w:t>
      </w:r>
      <w:hyperlink r:id="rId16" w:history="1">
        <w:r w:rsidRPr="00CD12CB">
          <w:rPr>
            <w:rFonts w:ascii="Times New Roman" w:eastAsia="Times New Roman" w:hAnsi="Times New Roman" w:cs="Times New Roman"/>
            <w:b/>
            <w:bCs/>
            <w:color w:val="8F1124"/>
            <w:sz w:val="24"/>
            <w:szCs w:val="24"/>
            <w:u w:val="single"/>
          </w:rPr>
          <w:t>Success Course</w:t>
        </w:r>
      </w:hyperlink>
      <w:r w:rsidRPr="00CD12CB">
        <w:rPr>
          <w:rFonts w:ascii="Times New Roman" w:eastAsia="Times New Roman" w:hAnsi="Times New Roman" w:cs="Times New Roman"/>
          <w:sz w:val="24"/>
          <w:szCs w:val="24"/>
        </w:rPr>
        <w:t> credits will apply as general elective credit toward a bachelor's degree.</w:t>
      </w:r>
    </w:p>
    <w:p w:rsidR="00CD12CB" w:rsidRPr="00CD12CB" w:rsidRDefault="00CD12CB" w:rsidP="00CD12CB">
      <w:pPr>
        <w:spacing w:before="240" w:after="120" w:line="240" w:lineRule="auto"/>
        <w:outlineLvl w:val="2"/>
        <w:rPr>
          <w:rFonts w:ascii="Verdana" w:eastAsia="Times New Roman" w:hAnsi="Verdana" w:cs="Times New Roman"/>
          <w:color w:val="49595E"/>
          <w:sz w:val="28"/>
          <w:szCs w:val="28"/>
        </w:rPr>
      </w:pPr>
      <w:r w:rsidRPr="00CD12CB">
        <w:rPr>
          <w:rFonts w:ascii="Verdana" w:eastAsia="Times New Roman" w:hAnsi="Verdana" w:cs="Times New Roman"/>
          <w:color w:val="49595E"/>
          <w:sz w:val="28"/>
          <w:szCs w:val="28"/>
        </w:rPr>
        <w:t>Credit by Examination Credit Maximum</w:t>
      </w:r>
    </w:p>
    <w:p w:rsidR="00CD12CB" w:rsidRPr="00CD12CB" w:rsidRDefault="00CD12CB" w:rsidP="00CD12CB">
      <w:pPr>
        <w:spacing w:after="180" w:line="240" w:lineRule="auto"/>
        <w:rPr>
          <w:rFonts w:ascii="Times New Roman" w:eastAsia="Times New Roman" w:hAnsi="Times New Roman" w:cs="Times New Roman"/>
          <w:sz w:val="24"/>
          <w:szCs w:val="24"/>
        </w:rPr>
      </w:pPr>
      <w:r w:rsidRPr="00CD12CB">
        <w:rPr>
          <w:rFonts w:ascii="Times New Roman" w:eastAsia="Times New Roman" w:hAnsi="Times New Roman" w:cs="Times New Roman"/>
          <w:sz w:val="24"/>
          <w:szCs w:val="24"/>
        </w:rPr>
        <w:t>A maximum of 60 units toward a bachelor's degree may be earned through </w:t>
      </w:r>
      <w:hyperlink r:id="rId17" w:history="1">
        <w:r w:rsidRPr="00CD12CB">
          <w:rPr>
            <w:rFonts w:ascii="Times New Roman" w:eastAsia="Times New Roman" w:hAnsi="Times New Roman" w:cs="Times New Roman"/>
            <w:b/>
            <w:bCs/>
            <w:color w:val="8F1124"/>
            <w:sz w:val="24"/>
            <w:szCs w:val="24"/>
            <w:u w:val="single"/>
          </w:rPr>
          <w:t>credit by examination</w:t>
        </w:r>
      </w:hyperlink>
      <w:r w:rsidRPr="00CD12CB">
        <w:rPr>
          <w:rFonts w:ascii="Times New Roman" w:eastAsia="Times New Roman" w:hAnsi="Times New Roman" w:cs="Times New Roman"/>
          <w:sz w:val="24"/>
          <w:szCs w:val="24"/>
        </w:rPr>
        <w:t>.</w:t>
      </w:r>
      <w:bookmarkStart w:id="0" w:name="_GoBack"/>
      <w:bookmarkEnd w:id="0"/>
    </w:p>
    <w:p w:rsidR="002C3301" w:rsidRDefault="00CD12CB"/>
    <w:sectPr w:rsidR="002C33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2CB"/>
    <w:rsid w:val="00387B7B"/>
    <w:rsid w:val="00696789"/>
    <w:rsid w:val="00CD1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C1E2C"/>
  <w15:chartTrackingRefBased/>
  <w15:docId w15:val="{EAA11A75-A8CA-4DD9-963D-5C9C57BCF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12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D12C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12C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D12C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D12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D12CB"/>
    <w:rPr>
      <w:color w:val="0000FF"/>
      <w:u w:val="single"/>
    </w:rPr>
  </w:style>
  <w:style w:type="character" w:customStyle="1" w:styleId="element-invisible">
    <w:name w:val="element-invisible"/>
    <w:basedOn w:val="DefaultParagraphFont"/>
    <w:rsid w:val="00CD1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219736">
      <w:bodyDiv w:val="1"/>
      <w:marLeft w:val="0"/>
      <w:marRight w:val="0"/>
      <w:marTop w:val="0"/>
      <w:marBottom w:val="0"/>
      <w:divBdr>
        <w:top w:val="none" w:sz="0" w:space="0" w:color="auto"/>
        <w:left w:val="none" w:sz="0" w:space="0" w:color="auto"/>
        <w:bottom w:val="none" w:sz="0" w:space="0" w:color="auto"/>
        <w:right w:val="none" w:sz="0" w:space="0" w:color="auto"/>
      </w:divBdr>
      <w:divsChild>
        <w:div w:id="1147282191">
          <w:marLeft w:val="0"/>
          <w:marRight w:val="0"/>
          <w:marTop w:val="0"/>
          <w:marBottom w:val="0"/>
          <w:divBdr>
            <w:top w:val="none" w:sz="0" w:space="0" w:color="auto"/>
            <w:left w:val="none" w:sz="0" w:space="0" w:color="auto"/>
            <w:bottom w:val="none" w:sz="0" w:space="0" w:color="auto"/>
            <w:right w:val="none" w:sz="0" w:space="0" w:color="auto"/>
          </w:divBdr>
          <w:divsChild>
            <w:div w:id="547189062">
              <w:marLeft w:val="0"/>
              <w:marRight w:val="0"/>
              <w:marTop w:val="0"/>
              <w:marBottom w:val="0"/>
              <w:divBdr>
                <w:top w:val="none" w:sz="0" w:space="0" w:color="auto"/>
                <w:left w:val="none" w:sz="0" w:space="0" w:color="auto"/>
                <w:bottom w:val="none" w:sz="0" w:space="0" w:color="auto"/>
                <w:right w:val="none" w:sz="0" w:space="0" w:color="auto"/>
              </w:divBdr>
              <w:divsChild>
                <w:div w:id="9927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arizona.edu/policy/academic-renewal-undergraduate-students" TargetMode="External"/><Relationship Id="rId13" Type="http://schemas.openxmlformats.org/officeDocument/2006/relationships/hyperlink" Target="http://directory.arizona.edu/department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atalog.arizona.edu/policy/second-start-readmission-policy" TargetMode="External"/><Relationship Id="rId12" Type="http://schemas.openxmlformats.org/officeDocument/2006/relationships/hyperlink" Target="https://catalog.arizona.edu/policy/credit-definitions" TargetMode="External"/><Relationship Id="rId17" Type="http://schemas.openxmlformats.org/officeDocument/2006/relationships/hyperlink" Target="https://catalog.arizona.edu/policy/proficiencycompetency-and-exemption-examinations-special-examination-credit-or-grade" TargetMode="External"/><Relationship Id="rId2" Type="http://schemas.openxmlformats.org/officeDocument/2006/relationships/settings" Target="settings.xml"/><Relationship Id="rId16" Type="http://schemas.openxmlformats.org/officeDocument/2006/relationships/hyperlink" Target="http://catalog.arizona.edu/policy/success-courses-definition-policies-and-guidelines" TargetMode="External"/><Relationship Id="rId1" Type="http://schemas.openxmlformats.org/officeDocument/2006/relationships/styles" Target="styles.xml"/><Relationship Id="rId6" Type="http://schemas.openxmlformats.org/officeDocument/2006/relationships/hyperlink" Target="https://catalog.arizona.edu/policy/grade-replacement-opportunity-gro" TargetMode="External"/><Relationship Id="rId11" Type="http://schemas.openxmlformats.org/officeDocument/2006/relationships/hyperlink" Target="http://advising.arizona.edu/content/academic-advisor-directory" TargetMode="External"/><Relationship Id="rId5" Type="http://schemas.openxmlformats.org/officeDocument/2006/relationships/hyperlink" Target="https://catalog.arizona.edu/policy/credit-definitions" TargetMode="External"/><Relationship Id="rId15" Type="http://schemas.openxmlformats.org/officeDocument/2006/relationships/hyperlink" Target="https://uaccess.schedule.arizona.edu/psp/pubsaprd/UA_ADV_CATALOG/HRMS/h/?tab=DEFAULT" TargetMode="External"/><Relationship Id="rId10" Type="http://schemas.openxmlformats.org/officeDocument/2006/relationships/hyperlink" Target="http://www.arizona.edu/topics/academics"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catalog.arizona.edu/policy/double-use-courses-double-dipping" TargetMode="External"/><Relationship Id="rId14" Type="http://schemas.openxmlformats.org/officeDocument/2006/relationships/hyperlink" Target="http://directory.arizona.edu/depart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Sorg, Abbie</dc:creator>
  <cp:keywords/>
  <dc:description/>
  <cp:lastModifiedBy>Sorg, Abbie</cp:lastModifiedBy>
  <cp:revision>1</cp:revision>
  <dcterms:created xsi:type="dcterms:W3CDTF">2019-08-22T17:13:00Z</dcterms:created>
  <dcterms:modified xsi:type="dcterms:W3CDTF">2019-08-22T17:18:00Z</dcterms:modified>
</cp:coreProperties>
</file>