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2C" w:rsidRPr="00864E2C" w:rsidRDefault="00864E2C" w:rsidP="00864E2C">
      <w:pPr>
        <w:spacing w:after="0" w:line="240" w:lineRule="auto"/>
        <w:rPr>
          <w:rFonts w:eastAsia="Times New Roman" w:cstheme="minorHAnsi"/>
          <w:sz w:val="24"/>
          <w:szCs w:val="24"/>
        </w:rPr>
      </w:pPr>
      <w:r w:rsidRPr="00864E2C">
        <w:rPr>
          <w:rFonts w:eastAsia="Times New Roman" w:cstheme="minorHAnsi"/>
          <w:sz w:val="24"/>
          <w:szCs w:val="24"/>
          <w:shd w:val="clear" w:color="auto" w:fill="FFFFFF"/>
        </w:rPr>
        <w:t>Faculty Roles and Qualifications</w:t>
      </w:r>
      <w:r>
        <w:rPr>
          <w:rFonts w:eastAsia="Times New Roman" w:cstheme="minorHAnsi"/>
          <w:sz w:val="24"/>
          <w:szCs w:val="24"/>
          <w:shd w:val="clear" w:color="auto" w:fill="FFFFFF"/>
        </w:rPr>
        <w:t xml:space="preserve"> </w:t>
      </w:r>
      <w:r w:rsidRPr="00864E2C">
        <w:rPr>
          <w:rFonts w:eastAsia="Times New Roman" w:cstheme="minorHAnsi"/>
          <w:sz w:val="20"/>
          <w:szCs w:val="20"/>
          <w:shd w:val="clear" w:color="auto" w:fill="FFFFFF"/>
        </w:rPr>
        <w:t xml:space="preserve">(found at </w:t>
      </w:r>
      <w:hyperlink r:id="rId5" w:history="1">
        <w:r w:rsidRPr="00864E2C">
          <w:rPr>
            <w:rStyle w:val="Hyperlink"/>
            <w:sz w:val="20"/>
            <w:szCs w:val="20"/>
          </w:rPr>
          <w:t>https://www.hlcommission.org/Policies/assumed-practices.html</w:t>
        </w:r>
      </w:hyperlink>
      <w:r w:rsidRPr="00864E2C">
        <w:rPr>
          <w:sz w:val="20"/>
          <w:szCs w:val="20"/>
        </w:rPr>
        <w:t>)</w:t>
      </w:r>
    </w:p>
    <w:p w:rsidR="00864E2C" w:rsidRPr="00864E2C" w:rsidRDefault="00864E2C" w:rsidP="00864E2C">
      <w:pPr>
        <w:numPr>
          <w:ilvl w:val="0"/>
          <w:numId w:val="1"/>
        </w:numPr>
        <w:shd w:val="clear" w:color="auto" w:fill="FFFFFF"/>
        <w:spacing w:after="100" w:afterAutospacing="1" w:line="450" w:lineRule="atLeast"/>
        <w:ind w:left="750"/>
        <w:rPr>
          <w:rFonts w:eastAsia="Times New Roman" w:cstheme="minorHAnsi"/>
          <w:sz w:val="24"/>
          <w:szCs w:val="24"/>
          <w:highlight w:val="yellow"/>
        </w:rPr>
      </w:pPr>
      <w:r w:rsidRPr="00864E2C">
        <w:rPr>
          <w:rFonts w:eastAsia="Times New Roman" w:cstheme="minorHAnsi"/>
          <w:sz w:val="24"/>
          <w:szCs w:val="24"/>
          <w:highlight w:val="yellow"/>
        </w:rPr>
        <w:t>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and at least one level above the level at which they teach, except in programs for terminal degrees or when equivalent experience is established. In terminal degree programs, faculty members possess the same level of degree. When faculty members are employed based on equivalent experience, the institution defines a minimum threshold of experience and an evaluation process that is used in the appointment process. Faculty teaching general education courses, or other non-occupational courses, hold a master’s degree or higher in the discipline or subfield. If a faculty member holds a master’s degree or higher in a discipline or subfield other than that in which he or she is teaching, that faculty member should have completed a minimum of 18 graduate credit hours in the discipline or subfield in which they teach.</w:t>
      </w:r>
    </w:p>
    <w:p w:rsidR="00864E2C" w:rsidRPr="00864E2C" w:rsidRDefault="00864E2C" w:rsidP="00864E2C">
      <w:pPr>
        <w:numPr>
          <w:ilvl w:val="0"/>
          <w:numId w:val="1"/>
        </w:numPr>
        <w:shd w:val="clear" w:color="auto" w:fill="FFFFFF"/>
        <w:spacing w:before="100" w:beforeAutospacing="1" w:after="100" w:afterAutospacing="1" w:line="450" w:lineRule="atLeast"/>
        <w:ind w:left="750"/>
        <w:rPr>
          <w:rFonts w:eastAsia="Times New Roman" w:cstheme="minorHAnsi"/>
          <w:sz w:val="24"/>
          <w:szCs w:val="24"/>
        </w:rPr>
      </w:pPr>
      <w:r w:rsidRPr="00864E2C">
        <w:rPr>
          <w:rFonts w:eastAsia="Times New Roman" w:cstheme="minorHAnsi"/>
          <w:sz w:val="24"/>
          <w:szCs w:val="24"/>
        </w:rPr>
        <w:t>Instructors teaching in graduate programs should hold the terminal degree determined by the discipline and have a record of research, scholarship or achievement appropriate for the graduate program.</w:t>
      </w:r>
    </w:p>
    <w:p w:rsidR="00864E2C" w:rsidRPr="00864E2C" w:rsidRDefault="00864E2C" w:rsidP="00864E2C">
      <w:pPr>
        <w:numPr>
          <w:ilvl w:val="0"/>
          <w:numId w:val="1"/>
        </w:numPr>
        <w:shd w:val="clear" w:color="auto" w:fill="FFFFFF"/>
        <w:spacing w:before="100" w:beforeAutospacing="1" w:after="100" w:afterAutospacing="1" w:line="450" w:lineRule="atLeast"/>
        <w:ind w:left="750"/>
        <w:rPr>
          <w:rFonts w:eastAsia="Times New Roman" w:cstheme="minorHAnsi"/>
          <w:sz w:val="24"/>
          <w:szCs w:val="24"/>
        </w:rPr>
      </w:pPr>
      <w:r w:rsidRPr="00864E2C">
        <w:rPr>
          <w:rFonts w:eastAsia="Times New Roman" w:cstheme="minorHAnsi"/>
          <w:sz w:val="24"/>
          <w:szCs w:val="24"/>
        </w:rPr>
        <w:t>Instructors teaching at the doctoral level have a record of recognized scholarship, creative endeavor, or achievement in practice commensurate with doctoral expectations.</w:t>
      </w:r>
    </w:p>
    <w:p w:rsidR="00864E2C" w:rsidRPr="00864E2C" w:rsidRDefault="00864E2C" w:rsidP="00864E2C">
      <w:pPr>
        <w:numPr>
          <w:ilvl w:val="0"/>
          <w:numId w:val="1"/>
        </w:numPr>
        <w:shd w:val="clear" w:color="auto" w:fill="FFFFFF"/>
        <w:spacing w:before="100" w:beforeAutospacing="1" w:after="100" w:afterAutospacing="1" w:line="450" w:lineRule="atLeast"/>
        <w:ind w:left="750"/>
        <w:rPr>
          <w:rFonts w:eastAsia="Times New Roman" w:cstheme="minorHAnsi"/>
          <w:sz w:val="24"/>
          <w:szCs w:val="24"/>
        </w:rPr>
      </w:pPr>
      <w:r w:rsidRPr="00864E2C">
        <w:rPr>
          <w:rFonts w:eastAsia="Times New Roman" w:cstheme="minorHAnsi"/>
          <w:sz w:val="24"/>
          <w:szCs w:val="24"/>
        </w:rPr>
        <w:t>Faculty participate substantially in:</w:t>
      </w:r>
    </w:p>
    <w:p w:rsidR="00864E2C" w:rsidRPr="00864E2C" w:rsidRDefault="00864E2C" w:rsidP="00864E2C">
      <w:pPr>
        <w:numPr>
          <w:ilvl w:val="1"/>
          <w:numId w:val="1"/>
        </w:numPr>
        <w:shd w:val="clear" w:color="auto" w:fill="FFFFFF"/>
        <w:spacing w:before="100" w:beforeAutospacing="1" w:after="100" w:afterAutospacing="1" w:line="450" w:lineRule="atLeast"/>
        <w:ind w:left="1500"/>
        <w:rPr>
          <w:rFonts w:eastAsia="Times New Roman" w:cstheme="minorHAnsi"/>
          <w:sz w:val="24"/>
          <w:szCs w:val="24"/>
        </w:rPr>
      </w:pPr>
      <w:r w:rsidRPr="00864E2C">
        <w:rPr>
          <w:rFonts w:eastAsia="Times New Roman" w:cstheme="minorHAnsi"/>
          <w:sz w:val="24"/>
          <w:szCs w:val="24"/>
        </w:rPr>
        <w:t>oversight of the curriculum—its development and implementation, academic substance, currency, and relevance for internal and external constituencies;</w:t>
      </w:r>
    </w:p>
    <w:p w:rsidR="00864E2C" w:rsidRPr="00864E2C" w:rsidRDefault="00864E2C" w:rsidP="00864E2C">
      <w:pPr>
        <w:numPr>
          <w:ilvl w:val="1"/>
          <w:numId w:val="1"/>
        </w:numPr>
        <w:shd w:val="clear" w:color="auto" w:fill="FFFFFF"/>
        <w:spacing w:before="100" w:beforeAutospacing="1" w:after="100" w:afterAutospacing="1" w:line="450" w:lineRule="atLeast"/>
        <w:ind w:left="1500"/>
        <w:rPr>
          <w:rFonts w:eastAsia="Times New Roman" w:cstheme="minorHAnsi"/>
          <w:sz w:val="24"/>
          <w:szCs w:val="24"/>
        </w:rPr>
      </w:pPr>
      <w:r w:rsidRPr="00864E2C">
        <w:rPr>
          <w:rFonts w:eastAsia="Times New Roman" w:cstheme="minorHAnsi"/>
          <w:sz w:val="24"/>
          <w:szCs w:val="24"/>
        </w:rPr>
        <w:t>assurance of consistency in the level and quality of instruction and in the expectations of student performance;</w:t>
      </w:r>
    </w:p>
    <w:p w:rsidR="00864E2C" w:rsidRPr="00864E2C" w:rsidRDefault="00864E2C" w:rsidP="00864E2C">
      <w:pPr>
        <w:numPr>
          <w:ilvl w:val="1"/>
          <w:numId w:val="1"/>
        </w:numPr>
        <w:shd w:val="clear" w:color="auto" w:fill="FFFFFF"/>
        <w:spacing w:before="100" w:beforeAutospacing="1" w:after="100" w:afterAutospacing="1" w:line="450" w:lineRule="atLeast"/>
        <w:ind w:left="1500"/>
        <w:rPr>
          <w:rFonts w:eastAsia="Times New Roman" w:cstheme="minorHAnsi"/>
          <w:sz w:val="24"/>
          <w:szCs w:val="24"/>
        </w:rPr>
      </w:pPr>
      <w:r w:rsidRPr="00864E2C">
        <w:rPr>
          <w:rFonts w:eastAsia="Times New Roman" w:cstheme="minorHAnsi"/>
          <w:sz w:val="24"/>
          <w:szCs w:val="24"/>
        </w:rPr>
        <w:t>establishment of the academic qualifications for instructional personnel;</w:t>
      </w:r>
    </w:p>
    <w:p w:rsidR="002C3301" w:rsidRDefault="00864E2C" w:rsidP="00FD62CA">
      <w:pPr>
        <w:numPr>
          <w:ilvl w:val="1"/>
          <w:numId w:val="1"/>
        </w:numPr>
        <w:shd w:val="clear" w:color="auto" w:fill="FFFFFF"/>
        <w:spacing w:before="100" w:beforeAutospacing="1" w:after="100" w:afterAutospacing="1" w:line="450" w:lineRule="atLeast"/>
        <w:ind w:left="1500"/>
      </w:pPr>
      <w:proofErr w:type="gramStart"/>
      <w:r w:rsidRPr="00864E2C">
        <w:rPr>
          <w:rFonts w:eastAsia="Times New Roman" w:cstheme="minorHAnsi"/>
          <w:sz w:val="24"/>
          <w:szCs w:val="24"/>
        </w:rPr>
        <w:t>analysis</w:t>
      </w:r>
      <w:proofErr w:type="gramEnd"/>
      <w:r w:rsidRPr="00864E2C">
        <w:rPr>
          <w:rFonts w:eastAsia="Times New Roman" w:cstheme="minorHAnsi"/>
          <w:sz w:val="24"/>
          <w:szCs w:val="24"/>
        </w:rPr>
        <w:t xml:space="preserve"> of data and appropriate action on assessment of student learning and program completion.</w:t>
      </w:r>
      <w:bookmarkStart w:id="0" w:name="_GoBack"/>
      <w:bookmarkEnd w:id="0"/>
    </w:p>
    <w:sectPr w:rsidR="002C3301" w:rsidSect="00864E2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96356"/>
    <w:multiLevelType w:val="multilevel"/>
    <w:tmpl w:val="6C60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2C"/>
    <w:rsid w:val="00387B7B"/>
    <w:rsid w:val="00696789"/>
    <w:rsid w:val="0086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D5D4"/>
  <w15:chartTrackingRefBased/>
  <w15:docId w15:val="{E74E45CB-4826-4F5A-968B-0AAD12DE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lcommission.org/Policies/assumed-pract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1</cp:revision>
  <dcterms:created xsi:type="dcterms:W3CDTF">2019-10-24T18:43:00Z</dcterms:created>
  <dcterms:modified xsi:type="dcterms:W3CDTF">2019-10-24T18:46:00Z</dcterms:modified>
</cp:coreProperties>
</file>