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EE56" w14:textId="6D03FEA1" w:rsidR="00E72BD9" w:rsidRDefault="00E72BD9" w:rsidP="00E72BD9">
      <w:pPr>
        <w:spacing w:after="0"/>
        <w:jc w:val="center"/>
        <w:rPr>
          <w:b/>
          <w:sz w:val="28"/>
          <w:szCs w:val="28"/>
        </w:rPr>
      </w:pPr>
      <w:r>
        <w:rPr>
          <w:b/>
          <w:sz w:val="28"/>
          <w:szCs w:val="28"/>
        </w:rPr>
        <w:t>Proposal to Eliminate the 60 University Credit Requirement</w:t>
      </w:r>
    </w:p>
    <w:p w14:paraId="40EEB329" w14:textId="325508D7" w:rsidR="00E72BD9" w:rsidRDefault="00E72BD9" w:rsidP="00E72BD9">
      <w:pPr>
        <w:spacing w:after="0"/>
        <w:jc w:val="center"/>
        <w:rPr>
          <w:b/>
          <w:sz w:val="28"/>
          <w:szCs w:val="28"/>
        </w:rPr>
      </w:pPr>
      <w:r>
        <w:rPr>
          <w:b/>
          <w:sz w:val="28"/>
          <w:szCs w:val="28"/>
        </w:rPr>
        <w:t>for GRO Eligibility (#2)</w:t>
      </w:r>
    </w:p>
    <w:p w14:paraId="1E7584B7" w14:textId="77777777" w:rsidR="00E72BD9" w:rsidRPr="00E72BD9" w:rsidRDefault="00E72BD9" w:rsidP="00E72BD9">
      <w:pPr>
        <w:spacing w:after="0"/>
      </w:pPr>
    </w:p>
    <w:p w14:paraId="180E790C" w14:textId="18C356AC" w:rsidR="00E72BD9" w:rsidRPr="00E72BD9" w:rsidRDefault="00E72BD9" w:rsidP="00E72BD9">
      <w:pPr>
        <w:spacing w:after="0"/>
      </w:pPr>
      <w:r w:rsidRPr="00E72BD9">
        <w:t>The Academic Advising Council respectfully requests a review of this proposal to eliminate the 60 University Credit Requirement associated with the GRO policy.</w:t>
      </w:r>
    </w:p>
    <w:p w14:paraId="43184BBF" w14:textId="161EB010" w:rsidR="00E72BD9" w:rsidRDefault="00E72BD9" w:rsidP="00E72BD9">
      <w:pPr>
        <w:spacing w:after="0"/>
        <w:rPr>
          <w:b/>
          <w:sz w:val="26"/>
          <w:szCs w:val="26"/>
        </w:rPr>
      </w:pPr>
    </w:p>
    <w:p w14:paraId="175EACA4" w14:textId="1D712112" w:rsidR="00E72BD9" w:rsidRPr="00E72BD9" w:rsidRDefault="00C071A0" w:rsidP="00E72BD9">
      <w:pPr>
        <w:spacing w:after="0"/>
        <w:rPr>
          <w:b/>
          <w:sz w:val="26"/>
          <w:szCs w:val="26"/>
        </w:rPr>
      </w:pPr>
      <w:hyperlink r:id="rId10" w:history="1">
        <w:r w:rsidR="00E72BD9" w:rsidRPr="00E72BD9">
          <w:rPr>
            <w:rStyle w:val="Hyperlink"/>
            <w:b/>
            <w:color w:val="auto"/>
            <w:sz w:val="26"/>
            <w:szCs w:val="26"/>
          </w:rPr>
          <w:t>Current Policy</w:t>
        </w:r>
      </w:hyperlink>
    </w:p>
    <w:p w14:paraId="262B989D" w14:textId="607C8201" w:rsidR="00E72BD9" w:rsidRPr="00E72BD9" w:rsidRDefault="00E72BD9" w:rsidP="00E72BD9">
      <w:pPr>
        <w:spacing w:after="0"/>
      </w:pPr>
      <w:r w:rsidRPr="00E72BD9">
        <w:t>Last Revised Date: </w:t>
      </w:r>
    </w:p>
    <w:p w14:paraId="718A9786" w14:textId="77777777" w:rsidR="00E72BD9" w:rsidRPr="00E72BD9" w:rsidRDefault="00E72BD9" w:rsidP="00E72BD9">
      <w:pPr>
        <w:spacing w:after="0"/>
      </w:pPr>
      <w:proofErr w:type="gramStart"/>
      <w:r w:rsidRPr="00E72BD9">
        <w:t>May,</w:t>
      </w:r>
      <w:proofErr w:type="gramEnd"/>
      <w:r w:rsidRPr="00E72BD9">
        <w:t xml:space="preserve"> 2020</w:t>
      </w:r>
    </w:p>
    <w:p w14:paraId="6CE3DD5F" w14:textId="5560B50C" w:rsidR="00E72BD9" w:rsidRPr="00E72BD9" w:rsidRDefault="00E72BD9" w:rsidP="00E72BD9">
      <w:pPr>
        <w:spacing w:after="0"/>
      </w:pPr>
      <w:r w:rsidRPr="00E72BD9">
        <w:t>NOTE:  GRO deadline in item #3 updated, and GRO maximum in item #7 updated to remove unit maximum, 5/28/20.</w:t>
      </w:r>
      <w:r w:rsidRPr="00E72BD9">
        <w:br/>
        <w:t>NOTE:  explanatory bullet points under item #5 removed, as those were no longer relevant, 3/12/19.</w:t>
      </w:r>
    </w:p>
    <w:p w14:paraId="15D91E5B" w14:textId="77777777" w:rsidR="00E72BD9" w:rsidRDefault="00E72BD9" w:rsidP="00E72BD9">
      <w:pPr>
        <w:spacing w:after="0"/>
      </w:pPr>
    </w:p>
    <w:p w14:paraId="7CB082B7" w14:textId="7A0E68D8" w:rsidR="00E72BD9" w:rsidRPr="00E72BD9" w:rsidRDefault="00E72BD9" w:rsidP="00E72BD9">
      <w:pPr>
        <w:spacing w:after="0"/>
      </w:pPr>
      <w:r w:rsidRPr="00E72BD9">
        <w:t>4/3/20 Note: Students my repeat any course taken during the </w:t>
      </w:r>
      <w:r w:rsidRPr="00E72BD9">
        <w:rPr>
          <w:bCs/>
        </w:rPr>
        <w:t>Spring 2020 term</w:t>
      </w:r>
      <w:r w:rsidRPr="00E72BD9">
        <w:t> without having the subsequent attempt count towards grade replacement opportunity (GRO) or repeat option limits. More information can be found on the </w:t>
      </w:r>
      <w:hyperlink r:id="rId11" w:tgtFrame="_blank" w:history="1">
        <w:r w:rsidRPr="00E72BD9">
          <w:rPr>
            <w:rStyle w:val="Hyperlink"/>
            <w:bCs/>
          </w:rPr>
          <w:t>announcement of the temporary policy(link is external)</w:t>
        </w:r>
      </w:hyperlink>
      <w:r w:rsidRPr="00E72BD9">
        <w:t> and an </w:t>
      </w:r>
      <w:hyperlink r:id="rId12" w:tgtFrame="_blank" w:history="1">
        <w:r w:rsidRPr="00E72BD9">
          <w:rPr>
            <w:rStyle w:val="Hyperlink"/>
            <w:bCs/>
          </w:rPr>
          <w:t>FAQ from the Office of the Registrar(link is external)</w:t>
        </w:r>
      </w:hyperlink>
      <w:r w:rsidRPr="00E72BD9">
        <w:t>. </w:t>
      </w:r>
    </w:p>
    <w:p w14:paraId="34ACFC0F" w14:textId="77777777" w:rsidR="00E72BD9" w:rsidRDefault="00E72BD9" w:rsidP="00E72BD9">
      <w:pPr>
        <w:spacing w:after="0"/>
        <w:rPr>
          <w:bCs/>
        </w:rPr>
      </w:pPr>
    </w:p>
    <w:p w14:paraId="1A939467" w14:textId="456E5483" w:rsidR="00E72BD9" w:rsidRPr="00E72BD9" w:rsidRDefault="00E72BD9" w:rsidP="00E72BD9">
      <w:pPr>
        <w:spacing w:after="0"/>
      </w:pPr>
      <w:r w:rsidRPr="00E72BD9">
        <w:rPr>
          <w:bCs/>
        </w:rPr>
        <w:t>Before applying for GRO, please read "</w:t>
      </w:r>
      <w:hyperlink r:id="rId13" w:tgtFrame="_blank" w:history="1">
        <w:r w:rsidRPr="00E72BD9">
          <w:rPr>
            <w:rStyle w:val="Hyperlink"/>
            <w:bCs/>
          </w:rPr>
          <w:t>The Truth about GRO(link is external)</w:t>
        </w:r>
      </w:hyperlink>
      <w:r w:rsidRPr="00E72BD9">
        <w:rPr>
          <w:bCs/>
        </w:rPr>
        <w:t>"</w:t>
      </w:r>
    </w:p>
    <w:p w14:paraId="2AB0F8E1" w14:textId="77777777" w:rsidR="00E72BD9" w:rsidRPr="00E72BD9" w:rsidRDefault="00E72BD9" w:rsidP="00E72BD9">
      <w:pPr>
        <w:numPr>
          <w:ilvl w:val="0"/>
          <w:numId w:val="5"/>
        </w:numPr>
        <w:spacing w:after="0"/>
      </w:pPr>
      <w:r w:rsidRPr="00E72BD9">
        <w:t>Undergraduates who have not received a bachelor's degree from this University may repeat under the Grade Replacement Opportunity (GRO), only once, certain courses in which they received </w:t>
      </w:r>
      <w:hyperlink r:id="rId14" w:history="1">
        <w:r w:rsidRPr="00E72BD9">
          <w:rPr>
            <w:rStyle w:val="Hyperlink"/>
            <w:bCs/>
          </w:rPr>
          <w:t>grades</w:t>
        </w:r>
      </w:hyperlink>
      <w:r w:rsidRPr="00E72BD9">
        <w:t> of C, D, or E.</w:t>
      </w:r>
    </w:p>
    <w:p w14:paraId="624891D3" w14:textId="77777777" w:rsidR="00E72BD9" w:rsidRPr="00E72BD9" w:rsidRDefault="00E72BD9" w:rsidP="00E72BD9">
      <w:pPr>
        <w:numPr>
          <w:ilvl w:val="0"/>
          <w:numId w:val="5"/>
        </w:numPr>
        <w:spacing w:after="0"/>
        <w:rPr>
          <w:highlight w:val="yellow"/>
        </w:rPr>
      </w:pPr>
      <w:r w:rsidRPr="00E72BD9">
        <w:rPr>
          <w:highlight w:val="yellow"/>
        </w:rPr>
        <w:t>All undergraduates who have earned fewer than 60 University Credits (i.e., units in residence at the UA) at the time of application for GRO are eligible. Students with 60 or more earned University Credits may retake courses in accordance with the </w:t>
      </w:r>
      <w:hyperlink r:id="rId15" w:history="1">
        <w:r w:rsidRPr="00E72BD9">
          <w:rPr>
            <w:rStyle w:val="Hyperlink"/>
            <w:bCs/>
            <w:highlight w:val="yellow"/>
          </w:rPr>
          <w:t>Course Repeat Policy</w:t>
        </w:r>
      </w:hyperlink>
      <w:r w:rsidRPr="00E72BD9">
        <w:rPr>
          <w:highlight w:val="yellow"/>
        </w:rPr>
        <w:t> but without use of the GRO. </w:t>
      </w:r>
    </w:p>
    <w:p w14:paraId="150F2D70" w14:textId="77777777" w:rsidR="00E72BD9" w:rsidRPr="00E72BD9" w:rsidRDefault="00E72BD9" w:rsidP="00E72BD9">
      <w:pPr>
        <w:numPr>
          <w:ilvl w:val="0"/>
          <w:numId w:val="5"/>
        </w:numPr>
        <w:spacing w:after="0"/>
      </w:pPr>
      <w:r w:rsidRPr="00E72BD9">
        <w:t>GRO requests for regular-dated classes in any session may be submitted online during GRO filing periods.  See the exact </w:t>
      </w:r>
      <w:hyperlink r:id="rId16" w:tgtFrame="_blank" w:history="1">
        <w:r w:rsidRPr="00E72BD9">
          <w:rPr>
            <w:rStyle w:val="Hyperlink"/>
            <w:bCs/>
          </w:rPr>
          <w:t>GRO Filing Deadlines(link is external)</w:t>
        </w:r>
      </w:hyperlink>
      <w:r w:rsidRPr="00E72BD9">
        <w:t> and the </w:t>
      </w:r>
      <w:hyperlink r:id="rId17" w:tgtFrame="_blank" w:history="1">
        <w:r w:rsidRPr="00E72BD9">
          <w:rPr>
            <w:rStyle w:val="Hyperlink"/>
            <w:bCs/>
          </w:rPr>
          <w:t>GRO Information(link is external)</w:t>
        </w:r>
      </w:hyperlink>
      <w:r w:rsidRPr="00E72BD9">
        <w:t> page.</w:t>
      </w:r>
    </w:p>
    <w:p w14:paraId="024ED6BE" w14:textId="77777777" w:rsidR="00E72BD9" w:rsidRPr="00E72BD9" w:rsidRDefault="00E72BD9" w:rsidP="00E72BD9">
      <w:pPr>
        <w:numPr>
          <w:ilvl w:val="0"/>
          <w:numId w:val="5"/>
        </w:numPr>
        <w:spacing w:after="0"/>
      </w:pPr>
      <w:r w:rsidRPr="00E72BD9">
        <w:t>Graduate students are not eligible for GRO.</w:t>
      </w:r>
    </w:p>
    <w:p w14:paraId="2590DB37" w14:textId="77777777" w:rsidR="00E72BD9" w:rsidRPr="00E72BD9" w:rsidRDefault="00E72BD9" w:rsidP="00E72BD9">
      <w:pPr>
        <w:numPr>
          <w:ilvl w:val="0"/>
          <w:numId w:val="5"/>
        </w:numPr>
        <w:spacing w:after="0"/>
      </w:pPr>
      <w:r w:rsidRPr="00E72BD9">
        <w:t>The repeat GRO attempt department, course number, and grading type must be identical to the first attempt. </w:t>
      </w:r>
    </w:p>
    <w:p w14:paraId="41369C8F" w14:textId="77777777" w:rsidR="00E72BD9" w:rsidRPr="00E72BD9" w:rsidRDefault="00E72BD9" w:rsidP="00E72BD9">
      <w:pPr>
        <w:numPr>
          <w:ilvl w:val="0"/>
          <w:numId w:val="5"/>
        </w:numPr>
        <w:spacing w:after="0"/>
      </w:pPr>
      <w:r w:rsidRPr="00E72BD9">
        <w:t>"Credit by Exam", "Grade by Exam", "Individual Studies" courses, "Success Courses," “Developmental Courses” (i.e., those with AX/BX after the course number), and "Pass/Fail" courses cannot be taken under GRO. Individual Studies is defined as courses with numbers ending in 91 (Preceptorship), 92 (directed research), 93 (internship), 94 (practicum), and 99 (independent study).</w:t>
      </w:r>
    </w:p>
    <w:p w14:paraId="6720E0AE" w14:textId="77777777" w:rsidR="00E72BD9" w:rsidRPr="00E72BD9" w:rsidRDefault="00E72BD9" w:rsidP="00E72BD9">
      <w:pPr>
        <w:numPr>
          <w:ilvl w:val="0"/>
          <w:numId w:val="5"/>
        </w:numPr>
        <w:spacing w:after="0"/>
      </w:pPr>
      <w:r w:rsidRPr="00E72BD9">
        <w:t>A total of 3 courses may be repeated under GRO.</w:t>
      </w:r>
    </w:p>
    <w:p w14:paraId="73585F08" w14:textId="77777777" w:rsidR="00E72BD9" w:rsidRPr="00E72BD9" w:rsidRDefault="00E72BD9" w:rsidP="00E72BD9">
      <w:pPr>
        <w:numPr>
          <w:ilvl w:val="0"/>
          <w:numId w:val="5"/>
        </w:numPr>
        <w:spacing w:after="0"/>
      </w:pPr>
      <w:r w:rsidRPr="00E72BD9">
        <w:t>A GRO repeated course grade will replace only one previous grade. (Example: if a course has been graded more than once, the GRO repeated course grade will replace only one of the graded courses.)</w:t>
      </w:r>
    </w:p>
    <w:p w14:paraId="20429E5C" w14:textId="77777777" w:rsidR="00E72BD9" w:rsidRPr="00E72BD9" w:rsidRDefault="00E72BD9" w:rsidP="00E72BD9">
      <w:pPr>
        <w:numPr>
          <w:ilvl w:val="0"/>
          <w:numId w:val="5"/>
        </w:numPr>
        <w:spacing w:after="0"/>
      </w:pPr>
      <w:r w:rsidRPr="00E72BD9">
        <w:t>The repeated attempt under GRO is the grade used in the calculation of the </w:t>
      </w:r>
      <w:hyperlink r:id="rId18" w:history="1">
        <w:r w:rsidRPr="00E72BD9">
          <w:rPr>
            <w:rStyle w:val="Hyperlink"/>
            <w:bCs/>
          </w:rPr>
          <w:t>grade-point-average (GPA)</w:t>
        </w:r>
      </w:hyperlink>
      <w:r w:rsidRPr="00E72BD9">
        <w:t xml:space="preserve">, even if lower than the first attempt, except in the case of #10 below. Both grades earned </w:t>
      </w:r>
      <w:r w:rsidRPr="00E72BD9">
        <w:lastRenderedPageBreak/>
        <w:t xml:space="preserve">in the first and the GRO repeat attempts will remain on the academic record. If a student passes the first attempt, but fails the repeat attempt, the failing grade is calculated in the grade-point-average; </w:t>
      </w:r>
      <w:proofErr w:type="gramStart"/>
      <w:r w:rsidRPr="00E72BD9">
        <w:t>however</w:t>
      </w:r>
      <w:proofErr w:type="gramEnd"/>
      <w:r w:rsidRPr="00E72BD9">
        <w:t xml:space="preserve"> the units earned in the first attempt may be applied toward degree requirements.</w:t>
      </w:r>
    </w:p>
    <w:p w14:paraId="36C1EAFE" w14:textId="77777777" w:rsidR="00E72BD9" w:rsidRPr="00E72BD9" w:rsidRDefault="00E72BD9" w:rsidP="00E72BD9">
      <w:pPr>
        <w:numPr>
          <w:ilvl w:val="0"/>
          <w:numId w:val="5"/>
        </w:numPr>
        <w:spacing w:after="0"/>
      </w:pPr>
      <w:r w:rsidRPr="00E72BD9">
        <w:t xml:space="preserve">GRO repeat attempt grades of O, W, WC, </w:t>
      </w:r>
      <w:proofErr w:type="gramStart"/>
      <w:r w:rsidRPr="00E72BD9">
        <w:t>WO</w:t>
      </w:r>
      <w:proofErr w:type="gramEnd"/>
      <w:r w:rsidRPr="00E72BD9">
        <w:t xml:space="preserve"> or XO count as attempts, but do not replace the grade in the first attempt.</w:t>
      </w:r>
    </w:p>
    <w:p w14:paraId="4860D542" w14:textId="77777777" w:rsidR="00E72BD9" w:rsidRPr="00E72BD9" w:rsidRDefault="00E72BD9" w:rsidP="00E72BD9">
      <w:pPr>
        <w:numPr>
          <w:ilvl w:val="0"/>
          <w:numId w:val="5"/>
        </w:numPr>
        <w:spacing w:after="0"/>
      </w:pPr>
      <w:r w:rsidRPr="00E72BD9">
        <w:t>When the final grade for the GRO repeat attempt has been processed in the Office of the Registrar, the cumulative units and grade-point-average will be adjusted. Grades of I and Y are not final grades.</w:t>
      </w:r>
    </w:p>
    <w:p w14:paraId="45E22DA7" w14:textId="77777777" w:rsidR="00E72BD9" w:rsidRPr="00E72BD9" w:rsidRDefault="00E72BD9" w:rsidP="00E72BD9">
      <w:pPr>
        <w:numPr>
          <w:ilvl w:val="0"/>
          <w:numId w:val="5"/>
        </w:numPr>
        <w:spacing w:after="0"/>
      </w:pPr>
      <w:r w:rsidRPr="00E72BD9">
        <w:t>University, college or department policies or certain circumstances may limit the option to use the Grade Replacement Opportunity. Neither the department nor the Office of the Registrar is responsible for the loss of this opportunity due to changes in course offerings, such as course cancellation, unit change, time change, etc.</w:t>
      </w:r>
    </w:p>
    <w:p w14:paraId="159C7D6C" w14:textId="4D4C58D5" w:rsidR="00E72BD9" w:rsidRDefault="00E72BD9" w:rsidP="00E72BD9">
      <w:pPr>
        <w:numPr>
          <w:ilvl w:val="0"/>
          <w:numId w:val="5"/>
        </w:numPr>
        <w:spacing w:after="0"/>
      </w:pPr>
      <w:r w:rsidRPr="00E72BD9">
        <w:t>After filing the GRO form, it becomes the STUDENT's RESPONSIBILITY to notify the </w:t>
      </w:r>
      <w:hyperlink r:id="rId19" w:tgtFrame="_blank" w:history="1">
        <w:r w:rsidRPr="00E72BD9">
          <w:rPr>
            <w:rStyle w:val="Hyperlink"/>
            <w:bCs/>
          </w:rPr>
          <w:t>Office of the Registrar(link is external)</w:t>
        </w:r>
      </w:hyperlink>
      <w:r w:rsidRPr="00E72BD9">
        <w:t>, Administration Bldg. Rm. 210, of ANY CHANGE that may affect the registrati</w:t>
      </w:r>
      <w:r>
        <w:t>on in the course being repeated.</w:t>
      </w:r>
    </w:p>
    <w:p w14:paraId="04F8B4FB" w14:textId="77777777" w:rsidR="00E72BD9" w:rsidRPr="00E72BD9" w:rsidRDefault="00E72BD9" w:rsidP="00E72BD9">
      <w:pPr>
        <w:spacing w:after="0"/>
        <w:ind w:left="720"/>
      </w:pPr>
    </w:p>
    <w:p w14:paraId="003703DB" w14:textId="77777777" w:rsidR="00E72BD9" w:rsidRDefault="00E72BD9" w:rsidP="00E72BD9">
      <w:pPr>
        <w:spacing w:after="0"/>
        <w:rPr>
          <w:b/>
          <w:sz w:val="26"/>
          <w:szCs w:val="26"/>
        </w:rPr>
      </w:pPr>
    </w:p>
    <w:p w14:paraId="58E95282" w14:textId="2E9EC690" w:rsidR="004E3622" w:rsidRPr="00960E98" w:rsidRDefault="00E72BD9" w:rsidP="00E72BD9">
      <w:pPr>
        <w:spacing w:after="0"/>
        <w:rPr>
          <w:b/>
          <w:sz w:val="26"/>
          <w:szCs w:val="26"/>
        </w:rPr>
      </w:pPr>
      <w:r>
        <w:rPr>
          <w:b/>
          <w:sz w:val="26"/>
          <w:szCs w:val="26"/>
        </w:rPr>
        <w:t xml:space="preserve">Rationale for Removal of the 60 units </w:t>
      </w:r>
      <w:proofErr w:type="spellStart"/>
      <w:r>
        <w:rPr>
          <w:b/>
          <w:sz w:val="26"/>
          <w:szCs w:val="26"/>
        </w:rPr>
        <w:t>UArizona</w:t>
      </w:r>
      <w:proofErr w:type="spellEnd"/>
      <w:r>
        <w:rPr>
          <w:b/>
          <w:sz w:val="26"/>
          <w:szCs w:val="26"/>
        </w:rPr>
        <w:t xml:space="preserve"> C</w:t>
      </w:r>
      <w:r w:rsidR="004E3622" w:rsidRPr="00960E98">
        <w:rPr>
          <w:b/>
          <w:sz w:val="26"/>
          <w:szCs w:val="26"/>
        </w:rPr>
        <w:t xml:space="preserve">redit </w:t>
      </w:r>
      <w:r>
        <w:rPr>
          <w:b/>
          <w:sz w:val="26"/>
          <w:szCs w:val="26"/>
        </w:rPr>
        <w:t>Requirement</w:t>
      </w:r>
      <w:r w:rsidR="004E3622" w:rsidRPr="00960E98">
        <w:rPr>
          <w:b/>
          <w:sz w:val="26"/>
          <w:szCs w:val="26"/>
        </w:rPr>
        <w:t xml:space="preserve"> for Grade Replacement Opportunity</w:t>
      </w:r>
      <w:r>
        <w:rPr>
          <w:b/>
          <w:sz w:val="26"/>
          <w:szCs w:val="26"/>
        </w:rPr>
        <w:t xml:space="preserve"> Eligibility</w:t>
      </w:r>
      <w:r w:rsidR="004E3622" w:rsidRPr="00960E98">
        <w:rPr>
          <w:b/>
          <w:sz w:val="26"/>
          <w:szCs w:val="26"/>
        </w:rPr>
        <w:t>.</w:t>
      </w:r>
    </w:p>
    <w:p w14:paraId="0A0F3D1E" w14:textId="25761913" w:rsidR="004E3622" w:rsidRPr="00960E98" w:rsidRDefault="004E3622" w:rsidP="00E72BD9">
      <w:pPr>
        <w:spacing w:after="0"/>
      </w:pPr>
      <w:r w:rsidRPr="00960E98">
        <w:t xml:space="preserve">Current policy doesn’t allow students to apply for GRO if they have completed more than 60 </w:t>
      </w:r>
      <w:proofErr w:type="spellStart"/>
      <w:r w:rsidRPr="00960E98">
        <w:t>UArizona</w:t>
      </w:r>
      <w:proofErr w:type="spellEnd"/>
      <w:r w:rsidRPr="00960E98">
        <w:t xml:space="preserve"> units.  While the cumulative GPA will not be significantly impacted by a GRO when the student has attained junior or senior class stand</w:t>
      </w:r>
      <w:r w:rsidR="00AE5756" w:rsidRPr="00960E98">
        <w:t>ing</w:t>
      </w:r>
      <w:r w:rsidRPr="00960E98">
        <w:t xml:space="preserve">, there are reasons beyond the cumulative GPA to consider the removal of the </w:t>
      </w:r>
      <w:proofErr w:type="gramStart"/>
      <w:r w:rsidRPr="00960E98">
        <w:t>60 unit</w:t>
      </w:r>
      <w:proofErr w:type="gramEnd"/>
      <w:r w:rsidRPr="00960E98">
        <w:t xml:space="preserve"> restriction.</w:t>
      </w:r>
    </w:p>
    <w:p w14:paraId="05A84CFE" w14:textId="77777777" w:rsidR="00457B31" w:rsidRPr="00960E98" w:rsidRDefault="00457B31" w:rsidP="00E72BD9">
      <w:pPr>
        <w:spacing w:after="0"/>
      </w:pPr>
    </w:p>
    <w:p w14:paraId="6A4AC03D" w14:textId="27026D83" w:rsidR="00457B31" w:rsidRPr="00960E98" w:rsidRDefault="002C1020" w:rsidP="00E72BD9">
      <w:pPr>
        <w:pStyle w:val="ListParagraph"/>
        <w:numPr>
          <w:ilvl w:val="0"/>
          <w:numId w:val="1"/>
        </w:numPr>
        <w:spacing w:after="0"/>
      </w:pPr>
      <w:r w:rsidRPr="00960E98">
        <w:t>Some students will benefit from h</w:t>
      </w:r>
      <w:r w:rsidR="004E3622" w:rsidRPr="00960E98">
        <w:t>aving GRO available</w:t>
      </w:r>
      <w:r w:rsidRPr="00960E98">
        <w:t xml:space="preserve"> when nearing graduation and needing to elevate the</w:t>
      </w:r>
      <w:r w:rsidR="004E3622" w:rsidRPr="00960E98">
        <w:t xml:space="preserve"> *major* or *minor* GPA to meet the 2.0 minimum requirement</w:t>
      </w:r>
      <w:r w:rsidRPr="00960E98">
        <w:t>.</w:t>
      </w:r>
    </w:p>
    <w:p w14:paraId="734DFE10" w14:textId="77777777" w:rsidR="002C1020" w:rsidRPr="00960E98" w:rsidRDefault="002C1020" w:rsidP="00E72BD9">
      <w:pPr>
        <w:pStyle w:val="ListParagraph"/>
        <w:spacing w:after="0"/>
      </w:pPr>
    </w:p>
    <w:p w14:paraId="50BDDD8B" w14:textId="5A7C72D3" w:rsidR="00457B31" w:rsidRPr="00960E98" w:rsidRDefault="004E3622" w:rsidP="00E72BD9">
      <w:pPr>
        <w:pStyle w:val="ListParagraph"/>
        <w:numPr>
          <w:ilvl w:val="0"/>
          <w:numId w:val="1"/>
        </w:numPr>
        <w:spacing w:after="0"/>
      </w:pPr>
      <w:r w:rsidRPr="00960E98">
        <w:t xml:space="preserve">Eliminating the </w:t>
      </w:r>
      <w:proofErr w:type="gramStart"/>
      <w:r w:rsidRPr="00960E98">
        <w:t>60 unit</w:t>
      </w:r>
      <w:proofErr w:type="gramEnd"/>
      <w:r w:rsidRPr="00960E98">
        <w:t xml:space="preserve"> barrier will make it possible for some students to meet scholarship or financial aid GPA requirements thus allowing them to continue enrollment.</w:t>
      </w:r>
    </w:p>
    <w:p w14:paraId="1EE9013A" w14:textId="77777777" w:rsidR="00457B31" w:rsidRPr="00960E98" w:rsidRDefault="00457B31" w:rsidP="00E72BD9">
      <w:pPr>
        <w:spacing w:after="0"/>
      </w:pPr>
    </w:p>
    <w:p w14:paraId="6BE0DED7" w14:textId="3EACBF80" w:rsidR="004E3622" w:rsidRPr="00960E98" w:rsidRDefault="004E3622" w:rsidP="00E72BD9">
      <w:pPr>
        <w:pStyle w:val="ListParagraph"/>
        <w:numPr>
          <w:ilvl w:val="0"/>
          <w:numId w:val="1"/>
        </w:numPr>
        <w:spacing w:after="0"/>
      </w:pPr>
      <w:r w:rsidRPr="00960E98">
        <w:t>Transfer students who are most often taking upper-division course work have GRO available to them for the more challenging courses</w:t>
      </w:r>
      <w:r w:rsidR="002C1020" w:rsidRPr="00960E98">
        <w:t xml:space="preserve">; yet </w:t>
      </w:r>
      <w:r w:rsidRPr="00960E98">
        <w:t xml:space="preserve">students </w:t>
      </w:r>
      <w:r w:rsidR="002C1020" w:rsidRPr="00960E98">
        <w:t>who begi</w:t>
      </w:r>
      <w:r w:rsidRPr="00960E98">
        <w:t xml:space="preserve">n as </w:t>
      </w:r>
      <w:r w:rsidR="00AE5756" w:rsidRPr="00960E98">
        <w:t xml:space="preserve">first years </w:t>
      </w:r>
      <w:r w:rsidRPr="00960E98">
        <w:t>are only able to GRO lower-division courses.</w:t>
      </w:r>
    </w:p>
    <w:p w14:paraId="2CD1D6F7" w14:textId="77777777" w:rsidR="00457B31" w:rsidRPr="00960E98" w:rsidRDefault="00457B31" w:rsidP="00E72BD9">
      <w:pPr>
        <w:spacing w:after="0"/>
      </w:pPr>
    </w:p>
    <w:p w14:paraId="09309B20" w14:textId="1D644861" w:rsidR="004E3622" w:rsidRPr="00960E98" w:rsidRDefault="002C1020" w:rsidP="00E72BD9">
      <w:pPr>
        <w:pStyle w:val="ListParagraph"/>
        <w:numPr>
          <w:ilvl w:val="0"/>
          <w:numId w:val="1"/>
        </w:numPr>
        <w:spacing w:after="0"/>
      </w:pPr>
      <w:r w:rsidRPr="00960E98">
        <w:t>GRO is difficult to manage for student eligibility. With the</w:t>
      </w:r>
      <w:r w:rsidR="00AE5756" w:rsidRPr="00960E98">
        <w:t xml:space="preserve"> Pass grade option</w:t>
      </w:r>
      <w:r w:rsidRPr="00960E98">
        <w:t xml:space="preserve"> </w:t>
      </w:r>
      <w:r w:rsidR="00AE5756" w:rsidRPr="00960E98">
        <w:t>made available for spring 2020,</w:t>
      </w:r>
      <w:r w:rsidRPr="00960E98">
        <w:t xml:space="preserve"> and unintended outcome is system accuracy with respect to whether a student is eligible to GRO a course. </w:t>
      </w:r>
      <w:r w:rsidR="00F02796" w:rsidRPr="00960E98">
        <w:t xml:space="preserve">Additionally, students may repeat any course taken during Spring 2020 term without having this subsequent attempt count towards GRO or repeat option limits. Therefore, </w:t>
      </w:r>
      <w:r w:rsidRPr="00960E98">
        <w:t>A</w:t>
      </w:r>
      <w:r w:rsidR="004E3622" w:rsidRPr="00960E98">
        <w:t xml:space="preserve">dvisors must </w:t>
      </w:r>
      <w:r w:rsidR="004E3622" w:rsidRPr="00960E98">
        <w:rPr>
          <w:b/>
          <w:i/>
        </w:rPr>
        <w:t>manually</w:t>
      </w:r>
      <w:r w:rsidR="004E3622" w:rsidRPr="00960E98">
        <w:t xml:space="preserve"> count units to determine </w:t>
      </w:r>
      <w:r w:rsidR="000450BB" w:rsidRPr="00960E98">
        <w:t>student eligibility.</w:t>
      </w:r>
    </w:p>
    <w:p w14:paraId="28BBC27D" w14:textId="57CB412C" w:rsidR="004E3622" w:rsidRDefault="004E3622" w:rsidP="00E72BD9">
      <w:pPr>
        <w:spacing w:after="0"/>
      </w:pPr>
    </w:p>
    <w:p w14:paraId="2B901438" w14:textId="44F1EC52" w:rsidR="00087874" w:rsidRDefault="00087874" w:rsidP="00E72BD9">
      <w:pPr>
        <w:spacing w:after="0"/>
      </w:pPr>
    </w:p>
    <w:p w14:paraId="1003E088" w14:textId="5E3EB80F" w:rsidR="00087874" w:rsidRPr="00960E98" w:rsidRDefault="00087874" w:rsidP="00E72BD9">
      <w:pPr>
        <w:spacing w:after="0"/>
      </w:pPr>
      <w:r>
        <w:t>November 10, 2021</w:t>
      </w:r>
    </w:p>
    <w:sectPr w:rsidR="00087874" w:rsidRPr="00960E98">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A7B6" w14:textId="77777777" w:rsidR="004E3622" w:rsidRDefault="004E3622" w:rsidP="004E3622">
      <w:pPr>
        <w:spacing w:after="0" w:line="240" w:lineRule="auto"/>
      </w:pPr>
      <w:r>
        <w:separator/>
      </w:r>
    </w:p>
  </w:endnote>
  <w:endnote w:type="continuationSeparator" w:id="0">
    <w:p w14:paraId="0DEC171C" w14:textId="77777777" w:rsidR="004E3622" w:rsidRDefault="004E3622" w:rsidP="004E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5B31" w14:textId="77777777" w:rsidR="004E3622" w:rsidRDefault="004E3622" w:rsidP="004E3622">
      <w:pPr>
        <w:spacing w:after="0" w:line="240" w:lineRule="auto"/>
      </w:pPr>
      <w:r>
        <w:separator/>
      </w:r>
    </w:p>
  </w:footnote>
  <w:footnote w:type="continuationSeparator" w:id="0">
    <w:p w14:paraId="288709C7" w14:textId="77777777" w:rsidR="004E3622" w:rsidRDefault="004E3622" w:rsidP="004E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501C" w14:textId="1202E717" w:rsidR="004E3622" w:rsidRDefault="004E3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733D5"/>
    <w:multiLevelType w:val="hybridMultilevel"/>
    <w:tmpl w:val="6FEC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52547"/>
    <w:multiLevelType w:val="hybridMultilevel"/>
    <w:tmpl w:val="7AF2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85C68"/>
    <w:multiLevelType w:val="multilevel"/>
    <w:tmpl w:val="AB3E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6B2EE5"/>
    <w:multiLevelType w:val="hybridMultilevel"/>
    <w:tmpl w:val="8978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22C5C"/>
    <w:multiLevelType w:val="hybridMultilevel"/>
    <w:tmpl w:val="EC2A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22"/>
    <w:rsid w:val="000450BB"/>
    <w:rsid w:val="00087874"/>
    <w:rsid w:val="001F338B"/>
    <w:rsid w:val="002B489A"/>
    <w:rsid w:val="002C1020"/>
    <w:rsid w:val="00457B31"/>
    <w:rsid w:val="004E3622"/>
    <w:rsid w:val="0065236A"/>
    <w:rsid w:val="00696D0B"/>
    <w:rsid w:val="00960E98"/>
    <w:rsid w:val="00A95B3F"/>
    <w:rsid w:val="00AE5756"/>
    <w:rsid w:val="00B81646"/>
    <w:rsid w:val="00C071A0"/>
    <w:rsid w:val="00CD2A4D"/>
    <w:rsid w:val="00D115C8"/>
    <w:rsid w:val="00E72BD9"/>
    <w:rsid w:val="00F0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0CABB"/>
  <w15:chartTrackingRefBased/>
  <w15:docId w15:val="{A995DA57-6FE3-41FD-B649-4B147E78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622"/>
  </w:style>
  <w:style w:type="paragraph" w:styleId="Footer">
    <w:name w:val="footer"/>
    <w:basedOn w:val="Normal"/>
    <w:link w:val="FooterChar"/>
    <w:uiPriority w:val="99"/>
    <w:unhideWhenUsed/>
    <w:rsid w:val="004E3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622"/>
  </w:style>
  <w:style w:type="paragraph" w:styleId="ListParagraph">
    <w:name w:val="List Paragraph"/>
    <w:basedOn w:val="Normal"/>
    <w:uiPriority w:val="34"/>
    <w:qFormat/>
    <w:rsid w:val="00457B31"/>
    <w:pPr>
      <w:ind w:left="720"/>
      <w:contextualSpacing/>
    </w:pPr>
  </w:style>
  <w:style w:type="paragraph" w:styleId="BalloonText">
    <w:name w:val="Balloon Text"/>
    <w:basedOn w:val="Normal"/>
    <w:link w:val="BalloonTextChar"/>
    <w:uiPriority w:val="99"/>
    <w:semiHidden/>
    <w:unhideWhenUsed/>
    <w:rsid w:val="00045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BB"/>
    <w:rPr>
      <w:rFonts w:ascii="Segoe UI" w:hAnsi="Segoe UI" w:cs="Segoe UI"/>
      <w:sz w:val="18"/>
      <w:szCs w:val="18"/>
    </w:rPr>
  </w:style>
  <w:style w:type="character" w:styleId="Hyperlink">
    <w:name w:val="Hyperlink"/>
    <w:basedOn w:val="DefaultParagraphFont"/>
    <w:uiPriority w:val="99"/>
    <w:unhideWhenUsed/>
    <w:rsid w:val="00E72B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98711">
      <w:bodyDiv w:val="1"/>
      <w:marLeft w:val="0"/>
      <w:marRight w:val="0"/>
      <w:marTop w:val="0"/>
      <w:marBottom w:val="0"/>
      <w:divBdr>
        <w:top w:val="none" w:sz="0" w:space="0" w:color="auto"/>
        <w:left w:val="none" w:sz="0" w:space="0" w:color="auto"/>
        <w:bottom w:val="none" w:sz="0" w:space="0" w:color="auto"/>
        <w:right w:val="none" w:sz="0" w:space="0" w:color="auto"/>
      </w:divBdr>
    </w:div>
    <w:div w:id="1369255782">
      <w:bodyDiv w:val="1"/>
      <w:marLeft w:val="0"/>
      <w:marRight w:val="0"/>
      <w:marTop w:val="0"/>
      <w:marBottom w:val="0"/>
      <w:divBdr>
        <w:top w:val="none" w:sz="0" w:space="0" w:color="auto"/>
        <w:left w:val="none" w:sz="0" w:space="0" w:color="auto"/>
        <w:bottom w:val="none" w:sz="0" w:space="0" w:color="auto"/>
        <w:right w:val="none" w:sz="0" w:space="0" w:color="auto"/>
      </w:divBdr>
      <w:divsChild>
        <w:div w:id="2067020590">
          <w:marLeft w:val="0"/>
          <w:marRight w:val="0"/>
          <w:marTop w:val="0"/>
          <w:marBottom w:val="360"/>
          <w:divBdr>
            <w:top w:val="single" w:sz="6" w:space="0" w:color="0C234B"/>
            <w:left w:val="single" w:sz="6" w:space="0" w:color="0C234B"/>
            <w:bottom w:val="single" w:sz="6" w:space="0" w:color="0C234B"/>
            <w:right w:val="single" w:sz="6" w:space="0" w:color="0C234B"/>
          </w:divBdr>
          <w:divsChild>
            <w:div w:id="610740847">
              <w:marLeft w:val="0"/>
              <w:marRight w:val="0"/>
              <w:marTop w:val="0"/>
              <w:marBottom w:val="0"/>
              <w:divBdr>
                <w:top w:val="none" w:sz="0" w:space="0" w:color="auto"/>
                <w:left w:val="none" w:sz="0" w:space="0" w:color="auto"/>
                <w:bottom w:val="none" w:sz="0" w:space="0" w:color="auto"/>
                <w:right w:val="none" w:sz="0" w:space="0" w:color="auto"/>
              </w:divBdr>
              <w:divsChild>
                <w:div w:id="10002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4855">
          <w:marLeft w:val="0"/>
          <w:marRight w:val="0"/>
          <w:marTop w:val="0"/>
          <w:marBottom w:val="0"/>
          <w:divBdr>
            <w:top w:val="none" w:sz="0" w:space="0" w:color="auto"/>
            <w:left w:val="none" w:sz="0" w:space="0" w:color="auto"/>
            <w:bottom w:val="none" w:sz="0" w:space="0" w:color="auto"/>
            <w:right w:val="none" w:sz="0" w:space="0" w:color="auto"/>
          </w:divBdr>
          <w:divsChild>
            <w:div w:id="2068797227">
              <w:marLeft w:val="0"/>
              <w:marRight w:val="0"/>
              <w:marTop w:val="0"/>
              <w:marBottom w:val="0"/>
              <w:divBdr>
                <w:top w:val="none" w:sz="0" w:space="0" w:color="auto"/>
                <w:left w:val="none" w:sz="0" w:space="0" w:color="auto"/>
                <w:bottom w:val="none" w:sz="0" w:space="0" w:color="auto"/>
                <w:right w:val="none" w:sz="0" w:space="0" w:color="auto"/>
              </w:divBdr>
              <w:divsChild>
                <w:div w:id="14023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5384">
      <w:bodyDiv w:val="1"/>
      <w:marLeft w:val="0"/>
      <w:marRight w:val="0"/>
      <w:marTop w:val="0"/>
      <w:marBottom w:val="0"/>
      <w:divBdr>
        <w:top w:val="none" w:sz="0" w:space="0" w:color="auto"/>
        <w:left w:val="none" w:sz="0" w:space="0" w:color="auto"/>
        <w:bottom w:val="none" w:sz="0" w:space="0" w:color="auto"/>
        <w:right w:val="none" w:sz="0" w:space="0" w:color="auto"/>
      </w:divBdr>
      <w:divsChild>
        <w:div w:id="1965574114">
          <w:marLeft w:val="0"/>
          <w:marRight w:val="0"/>
          <w:marTop w:val="0"/>
          <w:marBottom w:val="360"/>
          <w:divBdr>
            <w:top w:val="single" w:sz="6" w:space="0" w:color="0C234B"/>
            <w:left w:val="single" w:sz="6" w:space="0" w:color="0C234B"/>
            <w:bottom w:val="single" w:sz="6" w:space="0" w:color="0C234B"/>
            <w:right w:val="single" w:sz="6" w:space="0" w:color="0C234B"/>
          </w:divBdr>
          <w:divsChild>
            <w:div w:id="559900035">
              <w:marLeft w:val="0"/>
              <w:marRight w:val="0"/>
              <w:marTop w:val="0"/>
              <w:marBottom w:val="0"/>
              <w:divBdr>
                <w:top w:val="none" w:sz="0" w:space="0" w:color="auto"/>
                <w:left w:val="none" w:sz="0" w:space="0" w:color="auto"/>
                <w:bottom w:val="none" w:sz="0" w:space="0" w:color="auto"/>
                <w:right w:val="none" w:sz="0" w:space="0" w:color="auto"/>
              </w:divBdr>
              <w:divsChild>
                <w:div w:id="14777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6300">
          <w:marLeft w:val="0"/>
          <w:marRight w:val="0"/>
          <w:marTop w:val="0"/>
          <w:marBottom w:val="0"/>
          <w:divBdr>
            <w:top w:val="none" w:sz="0" w:space="0" w:color="auto"/>
            <w:left w:val="none" w:sz="0" w:space="0" w:color="auto"/>
            <w:bottom w:val="none" w:sz="0" w:space="0" w:color="auto"/>
            <w:right w:val="none" w:sz="0" w:space="0" w:color="auto"/>
          </w:divBdr>
          <w:divsChild>
            <w:div w:id="569191779">
              <w:marLeft w:val="0"/>
              <w:marRight w:val="0"/>
              <w:marTop w:val="0"/>
              <w:marBottom w:val="0"/>
              <w:divBdr>
                <w:top w:val="none" w:sz="0" w:space="0" w:color="auto"/>
                <w:left w:val="none" w:sz="0" w:space="0" w:color="auto"/>
                <w:bottom w:val="none" w:sz="0" w:space="0" w:color="auto"/>
                <w:right w:val="none" w:sz="0" w:space="0" w:color="auto"/>
              </w:divBdr>
              <w:divsChild>
                <w:div w:id="7064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dvising.arizona.edu/sites/default/files/GRO-the%20Truth%2012-05-16.pdf" TargetMode="External"/><Relationship Id="rId18" Type="http://schemas.openxmlformats.org/officeDocument/2006/relationships/hyperlink" Target="https://catalog.arizona.edu/policy/grade-point-average-gpa-calculation-or-averaging-grad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gistrar.arizona.edu/spring-2020-information-and-updates" TargetMode="External"/><Relationship Id="rId17" Type="http://schemas.openxmlformats.org/officeDocument/2006/relationships/hyperlink" Target="http://www.registrar.arizona.edu/academics/grade-replacement-opportunity-gro" TargetMode="External"/><Relationship Id="rId2" Type="http://schemas.openxmlformats.org/officeDocument/2006/relationships/customXml" Target="../customXml/item2.xml"/><Relationship Id="rId16" Type="http://schemas.openxmlformats.org/officeDocument/2006/relationships/hyperlink" Target="http://www.registrar.arizona.edu/courses/dates-deadlin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iew.comms.arizona.edu/?qs=b8a2db9bd2579cdec7428820353c3406672b30e2eb8d5b7be9286ab39db50bbb8b505e4d49c52714281d39f2ac86ebf91788056335d7941af3a91d2b232327d025d511d7c953446e" TargetMode="External"/><Relationship Id="rId5" Type="http://schemas.openxmlformats.org/officeDocument/2006/relationships/styles" Target="styles.xml"/><Relationship Id="rId15" Type="http://schemas.openxmlformats.org/officeDocument/2006/relationships/hyperlink" Target="https://catalog.arizona.edu/policy/repeating-course" TargetMode="External"/><Relationship Id="rId10" Type="http://schemas.openxmlformats.org/officeDocument/2006/relationships/hyperlink" Target="https://catalog.arizona.edu/policy/grade-replacement-opportunity-gro" TargetMode="External"/><Relationship Id="rId19" Type="http://schemas.openxmlformats.org/officeDocument/2006/relationships/hyperlink" Target="http://www.registrar.arizon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talog.arizona.edu/policy/grades-and-grading-syste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A18D0CE4BF7845A2F5145153742855" ma:contentTypeVersion="12" ma:contentTypeDescription="Create a new document." ma:contentTypeScope="" ma:versionID="7be4498c975dca6dede2fc1755029459">
  <xsd:schema xmlns:xsd="http://www.w3.org/2001/XMLSchema" xmlns:xs="http://www.w3.org/2001/XMLSchema" xmlns:p="http://schemas.microsoft.com/office/2006/metadata/properties" xmlns:ns1="http://schemas.microsoft.com/sharepoint/v3" xmlns:ns3="54e13a16-a6d6-44bf-9185-ad2b98c6a07a" targetNamespace="http://schemas.microsoft.com/office/2006/metadata/properties" ma:root="true" ma:fieldsID="cd34626752644954494ab691036f27ca" ns1:_="" ns3:_="">
    <xsd:import namespace="http://schemas.microsoft.com/sharepoint/v3"/>
    <xsd:import namespace="54e13a16-a6d6-44bf-9185-ad2b98c6a0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13a16-a6d6-44bf-9185-ad2b98c6a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B03981-1666-4318-802C-7B173E1E6760}">
  <ds:schemaRefs>
    <ds:schemaRef ds:uri="http://schemas.microsoft.com/sharepoint/v3/contenttype/forms"/>
  </ds:schemaRefs>
</ds:datastoreItem>
</file>

<file path=customXml/itemProps2.xml><?xml version="1.0" encoding="utf-8"?>
<ds:datastoreItem xmlns:ds="http://schemas.openxmlformats.org/officeDocument/2006/customXml" ds:itemID="{3D01DFB2-80F8-4115-836B-1AE40E76A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e13a16-a6d6-44bf-9185-ad2b98c6a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39477-D46D-462C-9568-E95A28823A2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e13a16-a6d6-44bf-9185-ad2b98c6a07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932</Words>
  <Characters>5318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 Catts</dc:creator>
  <cp:keywords/>
  <dc:description/>
  <cp:lastModifiedBy>Sorg, Abigail H - (asorg)</cp:lastModifiedBy>
  <cp:revision>2</cp:revision>
  <cp:lastPrinted>2021-09-28T21:53:00Z</cp:lastPrinted>
  <dcterms:created xsi:type="dcterms:W3CDTF">2022-01-21T22:14:00Z</dcterms:created>
  <dcterms:modified xsi:type="dcterms:W3CDTF">2022-01-21T22:14:00Z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0x0101000BA18D0CE4BF7845A2F5145153742855</vt:lpwstr>
  </property>
</Properties>
</file>