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146C8" w14:textId="102C269D" w:rsidR="006E6D55" w:rsidRPr="00C73332" w:rsidRDefault="006E6D55">
      <w:pPr>
        <w:rPr>
          <w:b/>
          <w:bCs/>
          <w:color w:val="AB0520" w:themeColor="accent1"/>
          <w:sz w:val="28"/>
          <w:szCs w:val="28"/>
        </w:rPr>
      </w:pPr>
      <w:r w:rsidRPr="00C73332">
        <w:rPr>
          <w:b/>
          <w:bCs/>
          <w:color w:val="AB0520" w:themeColor="accent1"/>
          <w:sz w:val="28"/>
          <w:szCs w:val="28"/>
        </w:rPr>
        <w:t>Policy Revision</w:t>
      </w:r>
    </w:p>
    <w:tbl>
      <w:tblPr>
        <w:tblStyle w:val="TableGrid"/>
        <w:tblW w:w="13806" w:type="dxa"/>
        <w:tblLook w:val="04A0" w:firstRow="1" w:lastRow="0" w:firstColumn="1" w:lastColumn="0" w:noHBand="0" w:noVBand="1"/>
      </w:tblPr>
      <w:tblGrid>
        <w:gridCol w:w="3195"/>
        <w:gridCol w:w="3537"/>
        <w:gridCol w:w="643"/>
        <w:gridCol w:w="2894"/>
        <w:gridCol w:w="3537"/>
      </w:tblGrid>
      <w:tr w:rsidR="006E6D55" w14:paraId="1302CE56" w14:textId="77777777" w:rsidTr="0053DD59">
        <w:trPr>
          <w:trHeight w:val="260"/>
        </w:trPr>
        <w:tc>
          <w:tcPr>
            <w:tcW w:w="3195" w:type="dxa"/>
          </w:tcPr>
          <w:p w14:paraId="2B10BFAC" w14:textId="79DF09DA" w:rsidR="006E6D55" w:rsidRPr="00D366CA" w:rsidRDefault="006E6D55" w:rsidP="5938F18D">
            <w:pPr>
              <w:spacing w:before="0" w:after="0" w:line="240" w:lineRule="auto"/>
              <w:outlineLvl w:val="0"/>
              <w:rPr>
                <w:b/>
                <w:bCs/>
                <w:sz w:val="22"/>
                <w:szCs w:val="22"/>
              </w:rPr>
            </w:pPr>
            <w:r w:rsidRPr="00D366CA">
              <w:rPr>
                <w:b/>
                <w:bCs/>
                <w:sz w:val="22"/>
                <w:szCs w:val="22"/>
              </w:rPr>
              <w:t>Policy Title</w:t>
            </w:r>
          </w:p>
        </w:tc>
        <w:sdt>
          <w:sdtPr>
            <w:rPr>
              <w:sz w:val="22"/>
              <w:szCs w:val="22"/>
            </w:rPr>
            <w:id w:val="-20474379"/>
            <w:placeholder>
              <w:docPart w:val="DefaultPlaceholder_-1854013440"/>
            </w:placeholder>
          </w:sdtPr>
          <w:sdtEndPr/>
          <w:sdtContent>
            <w:tc>
              <w:tcPr>
                <w:tcW w:w="10611" w:type="dxa"/>
                <w:gridSpan w:val="4"/>
              </w:tcPr>
              <w:p w14:paraId="3C95F829" w14:textId="204DF1E0" w:rsidR="006E6D55" w:rsidRPr="00D366CA" w:rsidRDefault="002F0BB9" w:rsidP="003202EB">
                <w:pPr>
                  <w:spacing w:beforeAutospacing="1" w:afterAutospacing="1" w:line="240" w:lineRule="auto"/>
                  <w:outlineLvl w:val="0"/>
                  <w:rPr>
                    <w:sz w:val="22"/>
                    <w:szCs w:val="22"/>
                  </w:rPr>
                </w:pPr>
                <w:r>
                  <w:rPr>
                    <w:sz w:val="22"/>
                    <w:szCs w:val="22"/>
                  </w:rPr>
                  <w:t>Choice of Catalog</w:t>
                </w:r>
              </w:p>
            </w:tc>
          </w:sdtContent>
        </w:sdt>
      </w:tr>
      <w:tr w:rsidR="006E6D55" w14:paraId="343DB427" w14:textId="77777777" w:rsidTr="00F372C0">
        <w:trPr>
          <w:trHeight w:val="278"/>
        </w:trPr>
        <w:tc>
          <w:tcPr>
            <w:tcW w:w="3195" w:type="dxa"/>
          </w:tcPr>
          <w:p w14:paraId="6DB27602" w14:textId="29432D83" w:rsidR="006E6D55" w:rsidRPr="00D366CA" w:rsidRDefault="006E6D55" w:rsidP="5938F18D">
            <w:pPr>
              <w:spacing w:before="0" w:after="0" w:line="240" w:lineRule="auto"/>
              <w:outlineLvl w:val="0"/>
              <w:rPr>
                <w:b/>
                <w:bCs/>
                <w:sz w:val="22"/>
                <w:szCs w:val="22"/>
              </w:rPr>
            </w:pPr>
            <w:r w:rsidRPr="00D366CA">
              <w:rPr>
                <w:b/>
                <w:bCs/>
                <w:sz w:val="22"/>
                <w:szCs w:val="22"/>
              </w:rPr>
              <w:t xml:space="preserve">Policy </w:t>
            </w:r>
            <w:r w:rsidR="00030D63">
              <w:rPr>
                <w:b/>
                <w:bCs/>
                <w:sz w:val="22"/>
                <w:szCs w:val="22"/>
              </w:rPr>
              <w:t>URL</w:t>
            </w:r>
          </w:p>
        </w:tc>
        <w:sdt>
          <w:sdtPr>
            <w:rPr>
              <w:sz w:val="22"/>
              <w:szCs w:val="22"/>
              <w:highlight w:val="cyan"/>
            </w:rPr>
            <w:id w:val="-842851021"/>
            <w:placeholder>
              <w:docPart w:val="DefaultPlaceholder_-1854013440"/>
            </w:placeholder>
          </w:sdtPr>
          <w:sdtEndPr/>
          <w:sdtContent>
            <w:tc>
              <w:tcPr>
                <w:tcW w:w="10611" w:type="dxa"/>
                <w:gridSpan w:val="4"/>
              </w:tcPr>
              <w:p w14:paraId="7266107A" w14:textId="7998A1A8" w:rsidR="006E6D55" w:rsidRPr="00D366CA" w:rsidRDefault="000F4173" w:rsidP="0053DD59">
                <w:pPr>
                  <w:spacing w:before="0" w:beforeAutospacing="1" w:after="0" w:afterAutospacing="1" w:line="240" w:lineRule="auto"/>
                  <w:outlineLvl w:val="0"/>
                  <w:rPr>
                    <w:sz w:val="22"/>
                    <w:szCs w:val="22"/>
                    <w:highlight w:val="cyan"/>
                  </w:rPr>
                </w:pPr>
                <w:hyperlink r:id="rId11" w:history="1">
                  <w:r w:rsidR="00D85FDE" w:rsidRPr="009748B6">
                    <w:rPr>
                      <w:rStyle w:val="Hyperlink"/>
                      <w:sz w:val="22"/>
                      <w:szCs w:val="22"/>
                    </w:rPr>
                    <w:t>https://catalog.arizona.edu/policy/choice-catalog</w:t>
                  </w:r>
                </w:hyperlink>
                <w:r w:rsidR="00D85FDE">
                  <w:rPr>
                    <w:sz w:val="22"/>
                    <w:szCs w:val="22"/>
                  </w:rPr>
                  <w:t xml:space="preserve"> </w:t>
                </w:r>
              </w:p>
            </w:tc>
          </w:sdtContent>
        </w:sdt>
      </w:tr>
      <w:tr w:rsidR="006E6D55" w14:paraId="26FC69D6" w14:textId="77777777" w:rsidTr="0053DD59">
        <w:trPr>
          <w:trHeight w:val="260"/>
        </w:trPr>
        <w:tc>
          <w:tcPr>
            <w:tcW w:w="3195" w:type="dxa"/>
          </w:tcPr>
          <w:p w14:paraId="6A5364C1" w14:textId="4440E974" w:rsidR="006E6D55" w:rsidRPr="00D366CA" w:rsidRDefault="006E6D55" w:rsidP="006E6D55">
            <w:pPr>
              <w:spacing w:beforeAutospacing="1" w:after="100" w:afterAutospacing="1" w:line="240" w:lineRule="auto"/>
              <w:outlineLvl w:val="0"/>
              <w:rPr>
                <w:b/>
                <w:bCs/>
                <w:sz w:val="22"/>
                <w:szCs w:val="22"/>
              </w:rPr>
            </w:pPr>
            <w:r w:rsidRPr="00D366CA">
              <w:rPr>
                <w:b/>
                <w:bCs/>
                <w:sz w:val="22"/>
                <w:szCs w:val="22"/>
              </w:rPr>
              <w:t>Rationale for Update</w:t>
            </w:r>
          </w:p>
        </w:tc>
        <w:sdt>
          <w:sdtPr>
            <w:rPr>
              <w:sz w:val="22"/>
              <w:szCs w:val="22"/>
            </w:rPr>
            <w:id w:val="58534307"/>
            <w:placeholder>
              <w:docPart w:val="DefaultPlaceholder_-1854013440"/>
            </w:placeholder>
          </w:sdtPr>
          <w:sdtEndPr/>
          <w:sdtContent>
            <w:tc>
              <w:tcPr>
                <w:tcW w:w="10611" w:type="dxa"/>
                <w:gridSpan w:val="4"/>
              </w:tcPr>
              <w:p w14:paraId="1C4D2A24" w14:textId="119C2B72" w:rsidR="006E6D55" w:rsidRPr="00D366CA" w:rsidRDefault="006C7D8C" w:rsidP="370CCF34">
                <w:pPr>
                  <w:spacing w:beforeAutospacing="1" w:after="100" w:afterAutospacing="1" w:line="240" w:lineRule="auto"/>
                  <w:outlineLvl w:val="0"/>
                  <w:rPr>
                    <w:sz w:val="22"/>
                    <w:szCs w:val="22"/>
                  </w:rPr>
                </w:pPr>
                <w:r>
                  <w:rPr>
                    <w:sz w:val="22"/>
                    <w:szCs w:val="22"/>
                  </w:rPr>
                  <w:t>Reformatting to make the policy clearer for students.</w:t>
                </w:r>
              </w:p>
            </w:tc>
          </w:sdtContent>
        </w:sdt>
      </w:tr>
      <w:tr w:rsidR="00C73332" w14:paraId="3BB27448" w14:textId="77777777" w:rsidTr="0053DD59">
        <w:trPr>
          <w:trHeight w:val="260"/>
        </w:trPr>
        <w:tc>
          <w:tcPr>
            <w:tcW w:w="3195" w:type="dxa"/>
          </w:tcPr>
          <w:p w14:paraId="1E61CA06" w14:textId="60072317" w:rsidR="00C73332" w:rsidRPr="00D366CA" w:rsidRDefault="00C73332" w:rsidP="006E6D55">
            <w:pPr>
              <w:spacing w:beforeAutospacing="1" w:after="100" w:afterAutospacing="1" w:line="240" w:lineRule="auto"/>
              <w:outlineLvl w:val="0"/>
              <w:rPr>
                <w:b/>
                <w:bCs/>
                <w:sz w:val="22"/>
                <w:szCs w:val="22"/>
              </w:rPr>
            </w:pPr>
            <w:r w:rsidRPr="00D366CA">
              <w:rPr>
                <w:b/>
                <w:bCs/>
                <w:sz w:val="22"/>
                <w:szCs w:val="22"/>
              </w:rPr>
              <w:t>Contact Person for Questions</w:t>
            </w:r>
          </w:p>
        </w:tc>
        <w:sdt>
          <w:sdtPr>
            <w:rPr>
              <w:sz w:val="22"/>
              <w:szCs w:val="22"/>
              <w:highlight w:val="cyan"/>
            </w:rPr>
            <w:id w:val="-964896740"/>
            <w:placeholder>
              <w:docPart w:val="DefaultPlaceholder_-1854013440"/>
            </w:placeholder>
          </w:sdtPr>
          <w:sdtEndPr/>
          <w:sdtContent>
            <w:tc>
              <w:tcPr>
                <w:tcW w:w="10611" w:type="dxa"/>
                <w:gridSpan w:val="4"/>
              </w:tcPr>
              <w:p w14:paraId="28901CED" w14:textId="7D3B0A21" w:rsidR="00C73332" w:rsidRPr="00D366CA" w:rsidRDefault="001D21C4" w:rsidP="370CCF34">
                <w:pPr>
                  <w:spacing w:beforeAutospacing="1" w:after="100" w:afterAutospacing="1" w:line="240" w:lineRule="auto"/>
                  <w:outlineLvl w:val="0"/>
                  <w:rPr>
                    <w:sz w:val="22"/>
                    <w:szCs w:val="22"/>
                    <w:highlight w:val="cyan"/>
                  </w:rPr>
                </w:pPr>
                <w:r w:rsidRPr="001D21C4">
                  <w:rPr>
                    <w:sz w:val="22"/>
                    <w:szCs w:val="22"/>
                  </w:rPr>
                  <w:t>Abbie Sorg</w:t>
                </w:r>
              </w:p>
            </w:tc>
          </w:sdtContent>
        </w:sdt>
      </w:tr>
      <w:tr w:rsidR="00FC3C3A" w14:paraId="46F90B23" w14:textId="77777777" w:rsidTr="00746EA4">
        <w:trPr>
          <w:trHeight w:val="260"/>
        </w:trPr>
        <w:tc>
          <w:tcPr>
            <w:tcW w:w="3195" w:type="dxa"/>
          </w:tcPr>
          <w:p w14:paraId="2AC8DDD0" w14:textId="7CD2FBC2" w:rsidR="00FC3C3A" w:rsidRPr="00D366CA" w:rsidRDefault="00FC3C3A" w:rsidP="006E6D55">
            <w:pPr>
              <w:spacing w:beforeAutospacing="1" w:after="100" w:afterAutospacing="1" w:line="240" w:lineRule="auto"/>
              <w:outlineLvl w:val="0"/>
              <w:rPr>
                <w:b/>
                <w:bCs/>
                <w:sz w:val="22"/>
                <w:szCs w:val="22"/>
              </w:rPr>
            </w:pPr>
            <w:r w:rsidRPr="00D366CA">
              <w:rPr>
                <w:b/>
                <w:bCs/>
                <w:sz w:val="22"/>
                <w:szCs w:val="22"/>
              </w:rPr>
              <w:t>Responsible Unit</w:t>
            </w:r>
          </w:p>
        </w:tc>
        <w:sdt>
          <w:sdtPr>
            <w:rPr>
              <w:sz w:val="22"/>
              <w:szCs w:val="22"/>
              <w:highlight w:val="cyan"/>
            </w:rPr>
            <w:id w:val="342207250"/>
            <w:placeholder>
              <w:docPart w:val="DefaultPlaceholder_-1854013440"/>
            </w:placeholder>
          </w:sdtPr>
          <w:sdtEndPr/>
          <w:sdtContent>
            <w:tc>
              <w:tcPr>
                <w:tcW w:w="3537" w:type="dxa"/>
              </w:tcPr>
              <w:p w14:paraId="3530B684" w14:textId="37CEDEE8" w:rsidR="00FC3C3A" w:rsidRPr="00D366CA" w:rsidRDefault="000E2103" w:rsidP="370CCF34">
                <w:pPr>
                  <w:spacing w:beforeAutospacing="1" w:after="100" w:afterAutospacing="1" w:line="240" w:lineRule="auto"/>
                  <w:outlineLvl w:val="0"/>
                  <w:rPr>
                    <w:sz w:val="22"/>
                    <w:szCs w:val="22"/>
                    <w:highlight w:val="cyan"/>
                  </w:rPr>
                </w:pPr>
                <w:r w:rsidRPr="00746EA4">
                  <w:rPr>
                    <w:sz w:val="22"/>
                    <w:szCs w:val="22"/>
                  </w:rPr>
                  <w:t>Office of the Registrar</w:t>
                </w:r>
              </w:p>
            </w:tc>
          </w:sdtContent>
        </w:sdt>
        <w:tc>
          <w:tcPr>
            <w:tcW w:w="643" w:type="dxa"/>
            <w:shd w:val="clear" w:color="auto" w:fill="auto"/>
          </w:tcPr>
          <w:p w14:paraId="28D6AD23" w14:textId="5C87843C" w:rsidR="00FC3C3A" w:rsidRPr="00D366CA" w:rsidRDefault="00FC3C3A" w:rsidP="370CCF34">
            <w:pPr>
              <w:spacing w:beforeAutospacing="1" w:after="100" w:afterAutospacing="1" w:line="240" w:lineRule="auto"/>
              <w:outlineLvl w:val="0"/>
              <w:rPr>
                <w:b/>
                <w:bCs/>
                <w:sz w:val="22"/>
                <w:szCs w:val="22"/>
                <w:highlight w:val="cyan"/>
              </w:rPr>
            </w:pPr>
            <w:r w:rsidRPr="00D366CA">
              <w:rPr>
                <w:b/>
                <w:bCs/>
                <w:sz w:val="22"/>
                <w:szCs w:val="22"/>
              </w:rPr>
              <w:t>URL</w:t>
            </w:r>
          </w:p>
        </w:tc>
        <w:sdt>
          <w:sdtPr>
            <w:rPr>
              <w:sz w:val="22"/>
              <w:szCs w:val="22"/>
              <w:highlight w:val="cyan"/>
            </w:rPr>
            <w:id w:val="-814329415"/>
            <w:placeholder>
              <w:docPart w:val="DefaultPlaceholder_-1854013440"/>
            </w:placeholder>
          </w:sdtPr>
          <w:sdtEndPr/>
          <w:sdtContent>
            <w:tc>
              <w:tcPr>
                <w:tcW w:w="6431" w:type="dxa"/>
                <w:gridSpan w:val="2"/>
                <w:shd w:val="clear" w:color="auto" w:fill="auto"/>
              </w:tcPr>
              <w:p w14:paraId="76F242C9" w14:textId="765C9678" w:rsidR="00FC3C3A" w:rsidRPr="00D366CA" w:rsidRDefault="00746EA4" w:rsidP="370CCF34">
                <w:pPr>
                  <w:spacing w:beforeAutospacing="1" w:after="100" w:afterAutospacing="1" w:line="240" w:lineRule="auto"/>
                  <w:outlineLvl w:val="0"/>
                  <w:rPr>
                    <w:sz w:val="22"/>
                    <w:szCs w:val="22"/>
                    <w:highlight w:val="cyan"/>
                  </w:rPr>
                </w:pPr>
                <w:r w:rsidRPr="00746EA4">
                  <w:rPr>
                    <w:sz w:val="22"/>
                    <w:szCs w:val="22"/>
                  </w:rPr>
                  <w:t xml:space="preserve">registrar.arizona.edu </w:t>
                </w:r>
              </w:p>
            </w:tc>
          </w:sdtContent>
        </w:sdt>
      </w:tr>
      <w:tr w:rsidR="00FC3C3A" w14:paraId="5ACDFB6E" w14:textId="77777777" w:rsidTr="00FB08B0">
        <w:trPr>
          <w:trHeight w:val="260"/>
        </w:trPr>
        <w:tc>
          <w:tcPr>
            <w:tcW w:w="3195" w:type="dxa"/>
          </w:tcPr>
          <w:p w14:paraId="2F274B61" w14:textId="68EE66E5" w:rsidR="00FC3C3A" w:rsidRPr="00D366CA" w:rsidRDefault="00086704" w:rsidP="006E6D55">
            <w:pPr>
              <w:spacing w:beforeAutospacing="1" w:after="100" w:afterAutospacing="1" w:line="240" w:lineRule="auto"/>
              <w:outlineLvl w:val="0"/>
              <w:rPr>
                <w:b/>
                <w:bCs/>
                <w:sz w:val="22"/>
                <w:szCs w:val="22"/>
              </w:rPr>
            </w:pPr>
            <w:r w:rsidRPr="00D366CA">
              <w:rPr>
                <w:b/>
                <w:bCs/>
                <w:sz w:val="22"/>
                <w:szCs w:val="22"/>
              </w:rPr>
              <w:t>Career Applicability</w:t>
            </w:r>
          </w:p>
        </w:tc>
        <w:tc>
          <w:tcPr>
            <w:tcW w:w="10611" w:type="dxa"/>
            <w:gridSpan w:val="4"/>
          </w:tcPr>
          <w:p w14:paraId="27BB62E7" w14:textId="69A8F14E" w:rsidR="00FC3C3A" w:rsidRPr="00D366CA" w:rsidRDefault="000F4173" w:rsidP="370CCF34">
            <w:pPr>
              <w:spacing w:beforeAutospacing="1" w:after="100" w:afterAutospacing="1" w:line="240" w:lineRule="auto"/>
              <w:outlineLvl w:val="0"/>
              <w:rPr>
                <w:sz w:val="22"/>
                <w:szCs w:val="22"/>
                <w:highlight w:val="cyan"/>
              </w:rPr>
            </w:pPr>
            <w:sdt>
              <w:sdtPr>
                <w:rPr>
                  <w:rFonts w:ascii="Calibri" w:eastAsia="Calibri" w:hAnsi="Calibri" w:cs="Calibri"/>
                  <w:sz w:val="22"/>
                  <w:szCs w:val="22"/>
                </w:rPr>
                <w:id w:val="1745211957"/>
                <w14:checkbox>
                  <w14:checked w14:val="1"/>
                  <w14:checkedState w14:val="2612" w14:font="MS Gothic"/>
                  <w14:uncheckedState w14:val="2610" w14:font="MS Gothic"/>
                </w14:checkbox>
              </w:sdtPr>
              <w:sdtEndPr/>
              <w:sdtContent>
                <w:r w:rsidR="00C90609">
                  <w:rPr>
                    <w:rFonts w:ascii="MS Gothic" w:eastAsia="MS Gothic" w:hAnsi="MS Gothic" w:cs="Calibri" w:hint="eastAsia"/>
                    <w:sz w:val="22"/>
                    <w:szCs w:val="22"/>
                  </w:rPr>
                  <w:t>☒</w:t>
                </w:r>
              </w:sdtContent>
            </w:sdt>
            <w:r w:rsidR="007C0EC1" w:rsidRPr="00D366CA">
              <w:rPr>
                <w:rFonts w:ascii="Calibri" w:eastAsia="Calibri" w:hAnsi="Calibri" w:cs="Calibri"/>
                <w:sz w:val="22"/>
                <w:szCs w:val="22"/>
              </w:rPr>
              <w:t xml:space="preserve"> Undergraduate    </w:t>
            </w:r>
            <w:r w:rsidR="00B47B12">
              <w:rPr>
                <w:rFonts w:ascii="Calibri" w:eastAsia="Calibri" w:hAnsi="Calibri" w:cs="Calibri"/>
                <w:sz w:val="22"/>
                <w:szCs w:val="22"/>
              </w:rPr>
              <w:t xml:space="preserve"> </w:t>
            </w:r>
            <w:r w:rsidR="007C0EC1" w:rsidRPr="00D366CA">
              <w:rPr>
                <w:rFonts w:ascii="Calibri" w:eastAsia="Calibri" w:hAnsi="Calibri" w:cs="Calibri"/>
                <w:sz w:val="22"/>
                <w:szCs w:val="22"/>
              </w:rPr>
              <w:t xml:space="preserve">   </w:t>
            </w:r>
            <w:sdt>
              <w:sdtPr>
                <w:rPr>
                  <w:rFonts w:ascii="Calibri" w:eastAsia="Calibri" w:hAnsi="Calibri" w:cs="Calibri"/>
                  <w:sz w:val="22"/>
                  <w:szCs w:val="22"/>
                </w:rPr>
                <w:id w:val="1891069975"/>
                <w14:checkbox>
                  <w14:checked w14:val="1"/>
                  <w14:checkedState w14:val="2612" w14:font="MS Gothic"/>
                  <w14:uncheckedState w14:val="2610" w14:font="MS Gothic"/>
                </w14:checkbox>
              </w:sdtPr>
              <w:sdtEndPr/>
              <w:sdtContent>
                <w:r w:rsidR="00C90609">
                  <w:rPr>
                    <w:rFonts w:ascii="MS Gothic" w:eastAsia="MS Gothic" w:hAnsi="MS Gothic" w:cs="Calibri" w:hint="eastAsia"/>
                    <w:sz w:val="22"/>
                    <w:szCs w:val="22"/>
                  </w:rPr>
                  <w:t>☒</w:t>
                </w:r>
              </w:sdtContent>
            </w:sdt>
            <w:r w:rsidR="007C0EC1" w:rsidRPr="00D366CA">
              <w:rPr>
                <w:rFonts w:ascii="Calibri" w:eastAsia="Calibri" w:hAnsi="Calibri" w:cs="Calibri"/>
                <w:sz w:val="22"/>
                <w:szCs w:val="22"/>
              </w:rPr>
              <w:t xml:space="preserve"> Graduate    </w:t>
            </w:r>
            <w:r w:rsidR="00B47B12">
              <w:rPr>
                <w:rFonts w:ascii="Calibri" w:eastAsia="Calibri" w:hAnsi="Calibri" w:cs="Calibri"/>
                <w:sz w:val="22"/>
                <w:szCs w:val="22"/>
              </w:rPr>
              <w:t xml:space="preserve"> </w:t>
            </w:r>
            <w:r w:rsidR="007C0EC1" w:rsidRPr="00D366CA">
              <w:rPr>
                <w:rFonts w:ascii="Calibri" w:eastAsia="Calibri" w:hAnsi="Calibri" w:cs="Calibri"/>
                <w:sz w:val="22"/>
                <w:szCs w:val="22"/>
              </w:rPr>
              <w:t xml:space="preserve">   </w:t>
            </w:r>
            <w:sdt>
              <w:sdtPr>
                <w:rPr>
                  <w:rFonts w:ascii="Calibri" w:eastAsia="Calibri" w:hAnsi="Calibri" w:cs="Calibri"/>
                  <w:sz w:val="22"/>
                  <w:szCs w:val="22"/>
                </w:rPr>
                <w:id w:val="-1975289000"/>
                <w14:checkbox>
                  <w14:checked w14:val="1"/>
                  <w14:checkedState w14:val="2612" w14:font="MS Gothic"/>
                  <w14:uncheckedState w14:val="2610" w14:font="MS Gothic"/>
                </w14:checkbox>
              </w:sdtPr>
              <w:sdtEndPr/>
              <w:sdtContent>
                <w:r w:rsidR="002F0BB9">
                  <w:rPr>
                    <w:rFonts w:ascii="MS Gothic" w:eastAsia="MS Gothic" w:hAnsi="MS Gothic" w:cs="Calibri" w:hint="eastAsia"/>
                    <w:sz w:val="22"/>
                    <w:szCs w:val="22"/>
                  </w:rPr>
                  <w:t>☒</w:t>
                </w:r>
              </w:sdtContent>
            </w:sdt>
            <w:r w:rsidR="007C0EC1" w:rsidRPr="00D366CA">
              <w:rPr>
                <w:rFonts w:ascii="Calibri" w:eastAsia="Calibri" w:hAnsi="Calibri" w:cs="Calibri"/>
                <w:sz w:val="22"/>
                <w:szCs w:val="22"/>
              </w:rPr>
              <w:t xml:space="preserve"> Law  </w:t>
            </w:r>
            <w:r w:rsidR="00B47B12">
              <w:rPr>
                <w:rFonts w:ascii="Calibri" w:eastAsia="Calibri" w:hAnsi="Calibri" w:cs="Calibri"/>
                <w:sz w:val="22"/>
                <w:szCs w:val="22"/>
              </w:rPr>
              <w:t xml:space="preserve"> </w:t>
            </w:r>
            <w:r w:rsidR="007C0EC1" w:rsidRPr="00D366CA">
              <w:rPr>
                <w:rFonts w:ascii="Calibri" w:eastAsia="Calibri" w:hAnsi="Calibri" w:cs="Calibri"/>
                <w:sz w:val="22"/>
                <w:szCs w:val="22"/>
              </w:rPr>
              <w:t xml:space="preserve">     </w:t>
            </w:r>
            <w:sdt>
              <w:sdtPr>
                <w:rPr>
                  <w:rFonts w:ascii="Calibri" w:eastAsia="Calibri" w:hAnsi="Calibri" w:cs="Calibri"/>
                  <w:sz w:val="22"/>
                  <w:szCs w:val="22"/>
                </w:rPr>
                <w:id w:val="683636132"/>
                <w14:checkbox>
                  <w14:checked w14:val="1"/>
                  <w14:checkedState w14:val="2612" w14:font="MS Gothic"/>
                  <w14:uncheckedState w14:val="2610" w14:font="MS Gothic"/>
                </w14:checkbox>
              </w:sdtPr>
              <w:sdtEndPr/>
              <w:sdtContent>
                <w:r w:rsidR="002F0BB9">
                  <w:rPr>
                    <w:rFonts w:ascii="MS Gothic" w:eastAsia="MS Gothic" w:hAnsi="MS Gothic" w:cs="Calibri" w:hint="eastAsia"/>
                    <w:sz w:val="22"/>
                    <w:szCs w:val="22"/>
                  </w:rPr>
                  <w:t>☒</w:t>
                </w:r>
              </w:sdtContent>
            </w:sdt>
            <w:r w:rsidR="007C0EC1" w:rsidRPr="00D366CA">
              <w:rPr>
                <w:rFonts w:ascii="Calibri" w:eastAsia="Calibri" w:hAnsi="Calibri" w:cs="Calibri"/>
                <w:sz w:val="22"/>
                <w:szCs w:val="22"/>
              </w:rPr>
              <w:t xml:space="preserve"> Medicine   </w:t>
            </w:r>
            <w:r w:rsidR="00B47B12">
              <w:rPr>
                <w:rFonts w:ascii="Calibri" w:eastAsia="Calibri" w:hAnsi="Calibri" w:cs="Calibri"/>
                <w:sz w:val="22"/>
                <w:szCs w:val="22"/>
              </w:rPr>
              <w:t xml:space="preserve"> </w:t>
            </w:r>
            <w:r w:rsidR="007C0EC1" w:rsidRPr="00D366CA">
              <w:rPr>
                <w:rFonts w:ascii="Calibri" w:eastAsia="Calibri" w:hAnsi="Calibri" w:cs="Calibri"/>
                <w:sz w:val="22"/>
                <w:szCs w:val="22"/>
              </w:rPr>
              <w:t xml:space="preserve">    </w:t>
            </w:r>
            <w:sdt>
              <w:sdtPr>
                <w:rPr>
                  <w:rFonts w:ascii="Calibri" w:eastAsia="Calibri" w:hAnsi="Calibri" w:cs="Calibri"/>
                  <w:sz w:val="22"/>
                  <w:szCs w:val="22"/>
                </w:rPr>
                <w:id w:val="-192150575"/>
                <w14:checkbox>
                  <w14:checked w14:val="1"/>
                  <w14:checkedState w14:val="2612" w14:font="MS Gothic"/>
                  <w14:uncheckedState w14:val="2610" w14:font="MS Gothic"/>
                </w14:checkbox>
              </w:sdtPr>
              <w:sdtEndPr/>
              <w:sdtContent>
                <w:r w:rsidR="002F0BB9">
                  <w:rPr>
                    <w:rFonts w:ascii="MS Gothic" w:eastAsia="MS Gothic" w:hAnsi="MS Gothic" w:cs="Calibri" w:hint="eastAsia"/>
                    <w:sz w:val="22"/>
                    <w:szCs w:val="22"/>
                  </w:rPr>
                  <w:t>☒</w:t>
                </w:r>
              </w:sdtContent>
            </w:sdt>
            <w:r w:rsidR="007C0EC1" w:rsidRPr="00D366CA">
              <w:rPr>
                <w:rFonts w:ascii="Calibri" w:eastAsia="Calibri" w:hAnsi="Calibri" w:cs="Calibri"/>
                <w:sz w:val="22"/>
                <w:szCs w:val="22"/>
              </w:rPr>
              <w:t xml:space="preserve"> Pharmacy  </w:t>
            </w:r>
            <w:r w:rsidR="00B47B12">
              <w:rPr>
                <w:rFonts w:ascii="Calibri" w:eastAsia="Calibri" w:hAnsi="Calibri" w:cs="Calibri"/>
                <w:sz w:val="22"/>
                <w:szCs w:val="22"/>
              </w:rPr>
              <w:t xml:space="preserve"> </w:t>
            </w:r>
            <w:r w:rsidR="007C0EC1" w:rsidRPr="00D366CA">
              <w:rPr>
                <w:rFonts w:ascii="Calibri" w:eastAsia="Calibri" w:hAnsi="Calibri" w:cs="Calibri"/>
                <w:sz w:val="22"/>
                <w:szCs w:val="22"/>
              </w:rPr>
              <w:t xml:space="preserve">     </w:t>
            </w:r>
            <w:sdt>
              <w:sdtPr>
                <w:rPr>
                  <w:rFonts w:ascii="Calibri" w:eastAsia="Calibri" w:hAnsi="Calibri" w:cs="Calibri"/>
                  <w:sz w:val="22"/>
                  <w:szCs w:val="22"/>
                </w:rPr>
                <w:id w:val="1138689912"/>
                <w14:checkbox>
                  <w14:checked w14:val="1"/>
                  <w14:checkedState w14:val="2612" w14:font="MS Gothic"/>
                  <w14:uncheckedState w14:val="2610" w14:font="MS Gothic"/>
                </w14:checkbox>
              </w:sdtPr>
              <w:sdtEndPr/>
              <w:sdtContent>
                <w:r w:rsidR="002F0BB9">
                  <w:rPr>
                    <w:rFonts w:ascii="MS Gothic" w:eastAsia="MS Gothic" w:hAnsi="MS Gothic" w:cs="Calibri" w:hint="eastAsia"/>
                    <w:sz w:val="22"/>
                    <w:szCs w:val="22"/>
                  </w:rPr>
                  <w:t>☒</w:t>
                </w:r>
              </w:sdtContent>
            </w:sdt>
            <w:r w:rsidR="007C0EC1" w:rsidRPr="00D366CA">
              <w:rPr>
                <w:rFonts w:ascii="Calibri" w:eastAsia="Calibri" w:hAnsi="Calibri" w:cs="Calibri"/>
                <w:sz w:val="22"/>
                <w:szCs w:val="22"/>
              </w:rPr>
              <w:t xml:space="preserve"> Veterinary Medicine</w:t>
            </w:r>
          </w:p>
        </w:tc>
      </w:tr>
      <w:tr w:rsidR="5938F18D" w14:paraId="6A2BB8EB" w14:textId="77777777" w:rsidTr="0053DD59">
        <w:tc>
          <w:tcPr>
            <w:tcW w:w="3195" w:type="dxa"/>
            <w:vMerge w:val="restart"/>
          </w:tcPr>
          <w:p w14:paraId="337A9659" w14:textId="56436C91" w:rsidR="473878D2" w:rsidRPr="00D366CA" w:rsidRDefault="473878D2" w:rsidP="5938F18D">
            <w:pPr>
              <w:spacing w:after="0" w:line="240" w:lineRule="auto"/>
              <w:rPr>
                <w:b/>
                <w:bCs/>
                <w:sz w:val="22"/>
                <w:szCs w:val="22"/>
              </w:rPr>
            </w:pPr>
            <w:r w:rsidRPr="00D366CA">
              <w:rPr>
                <w:b/>
                <w:bCs/>
                <w:sz w:val="22"/>
                <w:szCs w:val="22"/>
              </w:rPr>
              <w:t xml:space="preserve">Approvals Granted </w:t>
            </w:r>
          </w:p>
          <w:p w14:paraId="6423FAB6" w14:textId="2DBB3B09" w:rsidR="473878D2" w:rsidRPr="00D366CA" w:rsidRDefault="473878D2" w:rsidP="5938F18D">
            <w:pPr>
              <w:spacing w:after="0" w:line="240" w:lineRule="auto"/>
              <w:rPr>
                <w:b/>
                <w:bCs/>
                <w:sz w:val="22"/>
                <w:szCs w:val="22"/>
              </w:rPr>
            </w:pPr>
            <w:r w:rsidRPr="00D366CA">
              <w:rPr>
                <w:i/>
                <w:iCs/>
                <w:sz w:val="22"/>
                <w:szCs w:val="22"/>
              </w:rPr>
              <w:t>(</w:t>
            </w:r>
            <w:proofErr w:type="gramStart"/>
            <w:r w:rsidRPr="00D366CA">
              <w:rPr>
                <w:i/>
                <w:iCs/>
                <w:sz w:val="22"/>
                <w:szCs w:val="22"/>
              </w:rPr>
              <w:t>for</w:t>
            </w:r>
            <w:proofErr w:type="gramEnd"/>
            <w:r w:rsidRPr="00D366CA">
              <w:rPr>
                <w:i/>
                <w:iCs/>
                <w:sz w:val="22"/>
                <w:szCs w:val="22"/>
              </w:rPr>
              <w:t xml:space="preserve"> council use only)</w:t>
            </w:r>
          </w:p>
        </w:tc>
        <w:tc>
          <w:tcPr>
            <w:tcW w:w="3537" w:type="dxa"/>
          </w:tcPr>
          <w:p w14:paraId="1C5C7EA3" w14:textId="68D3422E" w:rsidR="473878D2" w:rsidRPr="00D366CA" w:rsidRDefault="473878D2" w:rsidP="5938F18D">
            <w:pPr>
              <w:spacing w:before="0" w:after="0" w:line="240" w:lineRule="auto"/>
              <w:rPr>
                <w:sz w:val="22"/>
                <w:szCs w:val="22"/>
              </w:rPr>
            </w:pPr>
            <w:r w:rsidRPr="00D366CA">
              <w:rPr>
                <w:sz w:val="22"/>
                <w:szCs w:val="22"/>
              </w:rPr>
              <w:t>UGC Policies Subcommittee</w:t>
            </w:r>
          </w:p>
        </w:tc>
        <w:tc>
          <w:tcPr>
            <w:tcW w:w="3537" w:type="dxa"/>
            <w:gridSpan w:val="2"/>
          </w:tcPr>
          <w:p w14:paraId="15B38191" w14:textId="3EF3F159" w:rsidR="473878D2" w:rsidRPr="00D366CA" w:rsidRDefault="473878D2" w:rsidP="5938F18D">
            <w:pPr>
              <w:spacing w:before="0" w:after="0"/>
              <w:rPr>
                <w:sz w:val="22"/>
                <w:szCs w:val="22"/>
              </w:rPr>
            </w:pPr>
            <w:r w:rsidRPr="00D366CA">
              <w:rPr>
                <w:sz w:val="22"/>
                <w:szCs w:val="22"/>
              </w:rPr>
              <w:t xml:space="preserve">Scheduled: </w:t>
            </w:r>
          </w:p>
        </w:tc>
        <w:tc>
          <w:tcPr>
            <w:tcW w:w="3537" w:type="dxa"/>
          </w:tcPr>
          <w:p w14:paraId="27B7A5A4" w14:textId="336A3EB7" w:rsidR="473878D2" w:rsidRPr="00D366CA" w:rsidRDefault="473878D2" w:rsidP="5938F18D">
            <w:pPr>
              <w:spacing w:before="0" w:after="0"/>
              <w:rPr>
                <w:sz w:val="22"/>
                <w:szCs w:val="22"/>
              </w:rPr>
            </w:pPr>
            <w:r w:rsidRPr="00D366CA">
              <w:rPr>
                <w:sz w:val="22"/>
                <w:szCs w:val="22"/>
              </w:rPr>
              <w:t>Status:</w:t>
            </w:r>
          </w:p>
        </w:tc>
      </w:tr>
      <w:tr w:rsidR="5938F18D" w14:paraId="75561ADA" w14:textId="77777777" w:rsidTr="0053DD59">
        <w:tc>
          <w:tcPr>
            <w:tcW w:w="3195" w:type="dxa"/>
            <w:vMerge/>
          </w:tcPr>
          <w:p w14:paraId="3E91ECF0" w14:textId="77777777" w:rsidR="00C66BF7" w:rsidRPr="00D366CA" w:rsidRDefault="00C66BF7">
            <w:pPr>
              <w:rPr>
                <w:sz w:val="22"/>
                <w:szCs w:val="22"/>
              </w:rPr>
            </w:pPr>
          </w:p>
        </w:tc>
        <w:tc>
          <w:tcPr>
            <w:tcW w:w="3537" w:type="dxa"/>
          </w:tcPr>
          <w:p w14:paraId="13C8CF16" w14:textId="1C20D72A" w:rsidR="473878D2" w:rsidRPr="00D366CA" w:rsidRDefault="473878D2" w:rsidP="5938F18D">
            <w:pPr>
              <w:spacing w:before="0" w:after="0"/>
              <w:rPr>
                <w:sz w:val="22"/>
                <w:szCs w:val="22"/>
              </w:rPr>
            </w:pPr>
            <w:r w:rsidRPr="00D366CA">
              <w:rPr>
                <w:sz w:val="22"/>
                <w:szCs w:val="22"/>
              </w:rPr>
              <w:t>Undergraduate Council</w:t>
            </w:r>
          </w:p>
        </w:tc>
        <w:tc>
          <w:tcPr>
            <w:tcW w:w="3537" w:type="dxa"/>
            <w:gridSpan w:val="2"/>
          </w:tcPr>
          <w:p w14:paraId="7C505C2F" w14:textId="7FD581F7" w:rsidR="473878D2" w:rsidRPr="00D366CA" w:rsidRDefault="473878D2" w:rsidP="5938F18D">
            <w:pPr>
              <w:spacing w:before="0" w:after="0"/>
              <w:rPr>
                <w:sz w:val="22"/>
                <w:szCs w:val="22"/>
              </w:rPr>
            </w:pPr>
            <w:r w:rsidRPr="00D366CA">
              <w:rPr>
                <w:sz w:val="22"/>
                <w:szCs w:val="22"/>
              </w:rPr>
              <w:t>Scheduled:</w:t>
            </w:r>
          </w:p>
        </w:tc>
        <w:tc>
          <w:tcPr>
            <w:tcW w:w="3537" w:type="dxa"/>
          </w:tcPr>
          <w:p w14:paraId="28EAB06C" w14:textId="4DE8713E" w:rsidR="473878D2" w:rsidRPr="00D366CA" w:rsidRDefault="473878D2" w:rsidP="5938F18D">
            <w:pPr>
              <w:spacing w:before="0" w:after="0"/>
              <w:rPr>
                <w:sz w:val="22"/>
                <w:szCs w:val="22"/>
              </w:rPr>
            </w:pPr>
            <w:r w:rsidRPr="00D366CA">
              <w:rPr>
                <w:sz w:val="22"/>
                <w:szCs w:val="22"/>
              </w:rPr>
              <w:t>Status:</w:t>
            </w:r>
          </w:p>
        </w:tc>
      </w:tr>
      <w:tr w:rsidR="00D366CA" w14:paraId="7285E1AE" w14:textId="77777777" w:rsidTr="0053DD59">
        <w:tc>
          <w:tcPr>
            <w:tcW w:w="3195" w:type="dxa"/>
            <w:vMerge/>
          </w:tcPr>
          <w:p w14:paraId="7FB91691" w14:textId="77777777" w:rsidR="00D366CA" w:rsidRPr="00D366CA" w:rsidRDefault="00D366CA" w:rsidP="00D366CA">
            <w:pPr>
              <w:rPr>
                <w:sz w:val="22"/>
                <w:szCs w:val="22"/>
              </w:rPr>
            </w:pPr>
          </w:p>
        </w:tc>
        <w:tc>
          <w:tcPr>
            <w:tcW w:w="3537" w:type="dxa"/>
          </w:tcPr>
          <w:p w14:paraId="7AA3AA0A" w14:textId="34848D25" w:rsidR="00D366CA" w:rsidRPr="00D366CA" w:rsidRDefault="00D366CA" w:rsidP="00D366CA">
            <w:pPr>
              <w:spacing w:before="0" w:after="0"/>
              <w:rPr>
                <w:sz w:val="22"/>
                <w:szCs w:val="22"/>
              </w:rPr>
            </w:pPr>
            <w:r w:rsidRPr="00D366CA">
              <w:rPr>
                <w:sz w:val="22"/>
                <w:szCs w:val="22"/>
              </w:rPr>
              <w:t>Graduate Council</w:t>
            </w:r>
          </w:p>
        </w:tc>
        <w:tc>
          <w:tcPr>
            <w:tcW w:w="3537" w:type="dxa"/>
            <w:gridSpan w:val="2"/>
          </w:tcPr>
          <w:p w14:paraId="73BF3B17" w14:textId="403C594D" w:rsidR="00D366CA" w:rsidRPr="00D366CA" w:rsidRDefault="00D366CA" w:rsidP="00D366CA">
            <w:pPr>
              <w:spacing w:before="0" w:after="0"/>
              <w:rPr>
                <w:sz w:val="22"/>
                <w:szCs w:val="22"/>
              </w:rPr>
            </w:pPr>
            <w:r w:rsidRPr="00D366CA">
              <w:rPr>
                <w:sz w:val="22"/>
                <w:szCs w:val="22"/>
              </w:rPr>
              <w:t xml:space="preserve">Scheduled: </w:t>
            </w:r>
          </w:p>
        </w:tc>
        <w:tc>
          <w:tcPr>
            <w:tcW w:w="3537" w:type="dxa"/>
          </w:tcPr>
          <w:p w14:paraId="0A4ACC22" w14:textId="7DFC217F" w:rsidR="00D366CA" w:rsidRPr="00D366CA" w:rsidRDefault="00D366CA" w:rsidP="00D366CA">
            <w:pPr>
              <w:spacing w:before="0" w:after="0"/>
              <w:rPr>
                <w:sz w:val="22"/>
                <w:szCs w:val="22"/>
              </w:rPr>
            </w:pPr>
            <w:r w:rsidRPr="00D366CA">
              <w:rPr>
                <w:sz w:val="22"/>
                <w:szCs w:val="22"/>
              </w:rPr>
              <w:t>Status:</w:t>
            </w:r>
          </w:p>
        </w:tc>
      </w:tr>
      <w:tr w:rsidR="00D366CA" w14:paraId="1621521A" w14:textId="77777777" w:rsidTr="0053DD59">
        <w:tc>
          <w:tcPr>
            <w:tcW w:w="3195" w:type="dxa"/>
            <w:vMerge/>
          </w:tcPr>
          <w:p w14:paraId="6EE9D5F1" w14:textId="77777777" w:rsidR="00D366CA" w:rsidRPr="00D366CA" w:rsidRDefault="00D366CA" w:rsidP="00D366CA">
            <w:pPr>
              <w:rPr>
                <w:sz w:val="22"/>
                <w:szCs w:val="22"/>
              </w:rPr>
            </w:pPr>
          </w:p>
        </w:tc>
        <w:tc>
          <w:tcPr>
            <w:tcW w:w="3537" w:type="dxa"/>
          </w:tcPr>
          <w:p w14:paraId="1BC15F49" w14:textId="4DE7FAE0" w:rsidR="00D366CA" w:rsidRPr="00D366CA" w:rsidRDefault="00D366CA" w:rsidP="00D366CA">
            <w:pPr>
              <w:spacing w:before="0" w:after="0"/>
              <w:rPr>
                <w:sz w:val="22"/>
                <w:szCs w:val="22"/>
              </w:rPr>
            </w:pPr>
            <w:r w:rsidRPr="00D366CA">
              <w:rPr>
                <w:sz w:val="22"/>
                <w:szCs w:val="22"/>
              </w:rPr>
              <w:t>Undergraduate CAAC</w:t>
            </w:r>
          </w:p>
        </w:tc>
        <w:tc>
          <w:tcPr>
            <w:tcW w:w="3537" w:type="dxa"/>
            <w:gridSpan w:val="2"/>
          </w:tcPr>
          <w:p w14:paraId="64713A2D" w14:textId="7325A47D" w:rsidR="00D366CA" w:rsidRPr="00D366CA" w:rsidRDefault="00D366CA" w:rsidP="00D366CA">
            <w:pPr>
              <w:spacing w:before="0" w:after="0"/>
              <w:rPr>
                <w:sz w:val="22"/>
                <w:szCs w:val="22"/>
              </w:rPr>
            </w:pPr>
            <w:r w:rsidRPr="00D366CA">
              <w:rPr>
                <w:sz w:val="22"/>
                <w:szCs w:val="22"/>
              </w:rPr>
              <w:t xml:space="preserve">Scheduled: </w:t>
            </w:r>
          </w:p>
        </w:tc>
        <w:tc>
          <w:tcPr>
            <w:tcW w:w="3537" w:type="dxa"/>
          </w:tcPr>
          <w:p w14:paraId="66D1B533" w14:textId="4C9E0C4F" w:rsidR="00D366CA" w:rsidRPr="00D366CA" w:rsidRDefault="00D366CA" w:rsidP="00D366CA">
            <w:pPr>
              <w:spacing w:before="0" w:after="0"/>
              <w:rPr>
                <w:sz w:val="22"/>
                <w:szCs w:val="22"/>
              </w:rPr>
            </w:pPr>
            <w:r w:rsidRPr="00D366CA">
              <w:rPr>
                <w:sz w:val="22"/>
                <w:szCs w:val="22"/>
              </w:rPr>
              <w:t>Status:</w:t>
            </w:r>
          </w:p>
        </w:tc>
      </w:tr>
      <w:tr w:rsidR="00D366CA" w14:paraId="6C022C5F" w14:textId="77777777" w:rsidTr="0053DD59">
        <w:tc>
          <w:tcPr>
            <w:tcW w:w="3195" w:type="dxa"/>
            <w:vMerge/>
          </w:tcPr>
          <w:p w14:paraId="6D685D2E" w14:textId="77777777" w:rsidR="00D366CA" w:rsidRPr="00D366CA" w:rsidRDefault="00D366CA" w:rsidP="00D366CA">
            <w:pPr>
              <w:rPr>
                <w:sz w:val="22"/>
                <w:szCs w:val="22"/>
              </w:rPr>
            </w:pPr>
          </w:p>
        </w:tc>
        <w:tc>
          <w:tcPr>
            <w:tcW w:w="3537" w:type="dxa"/>
          </w:tcPr>
          <w:p w14:paraId="4D5804C0" w14:textId="340C0315" w:rsidR="00D366CA" w:rsidRPr="00D366CA" w:rsidRDefault="00D366CA" w:rsidP="00D366CA">
            <w:pPr>
              <w:spacing w:before="0" w:after="0"/>
              <w:rPr>
                <w:sz w:val="22"/>
                <w:szCs w:val="22"/>
              </w:rPr>
            </w:pPr>
            <w:r w:rsidRPr="00D366CA">
              <w:rPr>
                <w:sz w:val="22"/>
                <w:szCs w:val="22"/>
              </w:rPr>
              <w:t>Graduate CAAC</w:t>
            </w:r>
          </w:p>
        </w:tc>
        <w:tc>
          <w:tcPr>
            <w:tcW w:w="3537" w:type="dxa"/>
            <w:gridSpan w:val="2"/>
          </w:tcPr>
          <w:p w14:paraId="19973300" w14:textId="17311F37" w:rsidR="00D366CA" w:rsidRPr="00D366CA" w:rsidRDefault="00D366CA" w:rsidP="00D366CA">
            <w:pPr>
              <w:spacing w:before="0" w:after="0"/>
              <w:rPr>
                <w:sz w:val="22"/>
                <w:szCs w:val="22"/>
              </w:rPr>
            </w:pPr>
            <w:r w:rsidRPr="00D366CA">
              <w:rPr>
                <w:sz w:val="22"/>
                <w:szCs w:val="22"/>
              </w:rPr>
              <w:t>Scheduled:</w:t>
            </w:r>
          </w:p>
        </w:tc>
        <w:tc>
          <w:tcPr>
            <w:tcW w:w="3537" w:type="dxa"/>
          </w:tcPr>
          <w:p w14:paraId="60F59686" w14:textId="4D1CDA4A" w:rsidR="00D366CA" w:rsidRPr="00D366CA" w:rsidRDefault="00D366CA" w:rsidP="00D366CA">
            <w:pPr>
              <w:spacing w:before="0" w:after="0"/>
              <w:rPr>
                <w:sz w:val="22"/>
                <w:szCs w:val="22"/>
              </w:rPr>
            </w:pPr>
            <w:r w:rsidRPr="00D366CA">
              <w:rPr>
                <w:sz w:val="22"/>
                <w:szCs w:val="22"/>
              </w:rPr>
              <w:t>Status:</w:t>
            </w:r>
          </w:p>
        </w:tc>
      </w:tr>
      <w:tr w:rsidR="00D366CA" w14:paraId="6C29C480" w14:textId="77777777" w:rsidTr="0053DD59">
        <w:tc>
          <w:tcPr>
            <w:tcW w:w="3195" w:type="dxa"/>
            <w:vMerge/>
          </w:tcPr>
          <w:p w14:paraId="686DFDA3" w14:textId="77777777" w:rsidR="00D366CA" w:rsidRPr="00D366CA" w:rsidRDefault="00D366CA" w:rsidP="00D366CA">
            <w:pPr>
              <w:rPr>
                <w:sz w:val="22"/>
                <w:szCs w:val="22"/>
              </w:rPr>
            </w:pPr>
          </w:p>
        </w:tc>
        <w:tc>
          <w:tcPr>
            <w:tcW w:w="3537" w:type="dxa"/>
          </w:tcPr>
          <w:p w14:paraId="5EA83F0A" w14:textId="79E49437" w:rsidR="00D366CA" w:rsidRPr="00D366CA" w:rsidRDefault="00D366CA" w:rsidP="00D366CA">
            <w:pPr>
              <w:spacing w:before="0" w:after="0"/>
              <w:rPr>
                <w:sz w:val="22"/>
                <w:szCs w:val="22"/>
              </w:rPr>
            </w:pPr>
            <w:r w:rsidRPr="00D366CA">
              <w:rPr>
                <w:sz w:val="22"/>
                <w:szCs w:val="22"/>
              </w:rPr>
              <w:t>Faculty Senate Executive Committee</w:t>
            </w:r>
          </w:p>
        </w:tc>
        <w:tc>
          <w:tcPr>
            <w:tcW w:w="3537" w:type="dxa"/>
            <w:gridSpan w:val="2"/>
          </w:tcPr>
          <w:p w14:paraId="778740E4" w14:textId="4A85DF96" w:rsidR="00D366CA" w:rsidRPr="00D366CA" w:rsidRDefault="00D366CA" w:rsidP="00D366CA">
            <w:pPr>
              <w:spacing w:before="0" w:after="0"/>
              <w:rPr>
                <w:sz w:val="22"/>
                <w:szCs w:val="22"/>
              </w:rPr>
            </w:pPr>
            <w:r w:rsidRPr="00D366CA">
              <w:rPr>
                <w:sz w:val="22"/>
                <w:szCs w:val="22"/>
              </w:rPr>
              <w:t xml:space="preserve">Scheduled: </w:t>
            </w:r>
          </w:p>
        </w:tc>
        <w:tc>
          <w:tcPr>
            <w:tcW w:w="3537" w:type="dxa"/>
          </w:tcPr>
          <w:p w14:paraId="1AD15800" w14:textId="664B003F" w:rsidR="00D366CA" w:rsidRPr="00D366CA" w:rsidRDefault="00D366CA" w:rsidP="00D366CA">
            <w:pPr>
              <w:spacing w:before="0" w:after="0"/>
              <w:rPr>
                <w:sz w:val="22"/>
                <w:szCs w:val="22"/>
              </w:rPr>
            </w:pPr>
            <w:r w:rsidRPr="00D366CA">
              <w:rPr>
                <w:sz w:val="22"/>
                <w:szCs w:val="22"/>
              </w:rPr>
              <w:t>Status:</w:t>
            </w:r>
          </w:p>
        </w:tc>
      </w:tr>
      <w:tr w:rsidR="00D366CA" w14:paraId="75AEA27C" w14:textId="77777777" w:rsidTr="0053DD59">
        <w:tc>
          <w:tcPr>
            <w:tcW w:w="3195" w:type="dxa"/>
            <w:vMerge/>
          </w:tcPr>
          <w:p w14:paraId="07E5205C" w14:textId="77777777" w:rsidR="00D366CA" w:rsidRPr="00D366CA" w:rsidRDefault="00D366CA" w:rsidP="00D366CA">
            <w:pPr>
              <w:rPr>
                <w:sz w:val="22"/>
                <w:szCs w:val="22"/>
              </w:rPr>
            </w:pPr>
          </w:p>
        </w:tc>
        <w:tc>
          <w:tcPr>
            <w:tcW w:w="3537" w:type="dxa"/>
          </w:tcPr>
          <w:p w14:paraId="0EAC71B1" w14:textId="60EF1893" w:rsidR="00D366CA" w:rsidRPr="00D366CA" w:rsidRDefault="00D366CA" w:rsidP="00D366CA">
            <w:pPr>
              <w:spacing w:before="0" w:after="0"/>
              <w:rPr>
                <w:sz w:val="22"/>
                <w:szCs w:val="22"/>
              </w:rPr>
            </w:pPr>
            <w:r w:rsidRPr="00D366CA">
              <w:rPr>
                <w:sz w:val="22"/>
                <w:szCs w:val="22"/>
              </w:rPr>
              <w:t>Faculty Senate</w:t>
            </w:r>
          </w:p>
        </w:tc>
        <w:tc>
          <w:tcPr>
            <w:tcW w:w="3537" w:type="dxa"/>
            <w:gridSpan w:val="2"/>
          </w:tcPr>
          <w:p w14:paraId="4A78222A" w14:textId="3483B314" w:rsidR="00D366CA" w:rsidRPr="00D366CA" w:rsidRDefault="00D366CA" w:rsidP="00D366CA">
            <w:pPr>
              <w:spacing w:before="0" w:after="0"/>
              <w:rPr>
                <w:sz w:val="22"/>
                <w:szCs w:val="22"/>
              </w:rPr>
            </w:pPr>
            <w:r w:rsidRPr="00D366CA">
              <w:rPr>
                <w:sz w:val="22"/>
                <w:szCs w:val="22"/>
              </w:rPr>
              <w:t>Scheduled:</w:t>
            </w:r>
          </w:p>
        </w:tc>
        <w:tc>
          <w:tcPr>
            <w:tcW w:w="3537" w:type="dxa"/>
          </w:tcPr>
          <w:p w14:paraId="5D28E701" w14:textId="0CB08DEF" w:rsidR="00D366CA" w:rsidRPr="00D366CA" w:rsidRDefault="00D366CA" w:rsidP="00D366CA">
            <w:pPr>
              <w:spacing w:before="0" w:after="0"/>
              <w:rPr>
                <w:sz w:val="22"/>
                <w:szCs w:val="22"/>
              </w:rPr>
            </w:pPr>
            <w:r w:rsidRPr="00D366CA">
              <w:rPr>
                <w:sz w:val="22"/>
                <w:szCs w:val="22"/>
              </w:rPr>
              <w:t>Status:</w:t>
            </w:r>
          </w:p>
        </w:tc>
      </w:tr>
    </w:tbl>
    <w:p w14:paraId="4ADC4F23" w14:textId="1BE3175C" w:rsidR="006E6D55" w:rsidRDefault="00C73332" w:rsidP="00C73332">
      <w:pPr>
        <w:spacing w:after="0"/>
        <w:jc w:val="center"/>
        <w:rPr>
          <w:b/>
          <w:bCs/>
          <w:color w:val="AB0520" w:themeColor="accent1"/>
          <w:sz w:val="22"/>
          <w:szCs w:val="22"/>
        </w:rPr>
      </w:pPr>
      <w:r>
        <w:rPr>
          <w:b/>
          <w:bCs/>
          <w:color w:val="AB0520" w:themeColor="accent1"/>
          <w:sz w:val="22"/>
          <w:szCs w:val="22"/>
        </w:rPr>
        <w:t>Policy Revision Side by Side</w:t>
      </w:r>
    </w:p>
    <w:p w14:paraId="7203E049" w14:textId="640AA805" w:rsidR="00C73332" w:rsidRPr="00C73332" w:rsidRDefault="00C73332" w:rsidP="00C73332">
      <w:pPr>
        <w:spacing w:after="0"/>
        <w:jc w:val="center"/>
        <w:rPr>
          <w:sz w:val="22"/>
          <w:szCs w:val="22"/>
        </w:rPr>
      </w:pPr>
      <w:r w:rsidRPr="00C73332">
        <w:t xml:space="preserve">Additions in </w:t>
      </w:r>
      <w:r w:rsidRPr="00C73332">
        <w:rPr>
          <w:highlight w:val="green"/>
        </w:rPr>
        <w:t>Green</w:t>
      </w:r>
      <w:r w:rsidRPr="00C73332">
        <w:t xml:space="preserve"> – Deletions in </w:t>
      </w:r>
      <w:r w:rsidRPr="00C73332">
        <w:rPr>
          <w:strike/>
          <w:highlight w:val="yellow"/>
        </w:rPr>
        <w:t>Yellow</w:t>
      </w:r>
    </w:p>
    <w:tbl>
      <w:tblPr>
        <w:tblStyle w:val="TableGrid"/>
        <w:tblW w:w="14438" w:type="dxa"/>
        <w:tblLayout w:type="fixed"/>
        <w:tblLook w:val="04A0" w:firstRow="1" w:lastRow="0" w:firstColumn="1" w:lastColumn="0" w:noHBand="0" w:noVBand="1"/>
      </w:tblPr>
      <w:tblGrid>
        <w:gridCol w:w="7219"/>
        <w:gridCol w:w="7219"/>
      </w:tblGrid>
      <w:tr w:rsidR="006E6D55" w:rsidRPr="008A1A80" w14:paraId="305BE9AB" w14:textId="77777777" w:rsidTr="0053DD59">
        <w:trPr>
          <w:tblHeader/>
        </w:trPr>
        <w:tc>
          <w:tcPr>
            <w:tcW w:w="7219" w:type="dxa"/>
            <w:shd w:val="clear" w:color="auto" w:fill="0C234B" w:themeFill="accent2"/>
          </w:tcPr>
          <w:p w14:paraId="64BD6BCC" w14:textId="77777777" w:rsidR="006E6D55" w:rsidRPr="00C73332" w:rsidRDefault="006E6D55" w:rsidP="00FB08B0">
            <w:pPr>
              <w:rPr>
                <w:rFonts w:cstheme="minorHAnsi"/>
                <w:sz w:val="22"/>
                <w:szCs w:val="22"/>
              </w:rPr>
            </w:pPr>
            <w:r w:rsidRPr="00C73332">
              <w:rPr>
                <w:rFonts w:cstheme="minorHAnsi"/>
                <w:sz w:val="22"/>
                <w:szCs w:val="22"/>
              </w:rPr>
              <w:t>Existing Policy</w:t>
            </w:r>
          </w:p>
        </w:tc>
        <w:tc>
          <w:tcPr>
            <w:tcW w:w="7219" w:type="dxa"/>
            <w:shd w:val="clear" w:color="auto" w:fill="0C234B" w:themeFill="accent2"/>
          </w:tcPr>
          <w:p w14:paraId="51DD670C" w14:textId="77777777" w:rsidR="006E6D55" w:rsidRPr="00C73332" w:rsidRDefault="006E6D55" w:rsidP="00FB08B0">
            <w:pPr>
              <w:rPr>
                <w:rFonts w:cstheme="minorHAnsi"/>
                <w:sz w:val="22"/>
                <w:szCs w:val="22"/>
              </w:rPr>
            </w:pPr>
            <w:r w:rsidRPr="00C73332">
              <w:rPr>
                <w:rFonts w:cstheme="minorHAnsi"/>
                <w:sz w:val="22"/>
                <w:szCs w:val="22"/>
              </w:rPr>
              <w:t>Proposed Edit</w:t>
            </w:r>
          </w:p>
        </w:tc>
      </w:tr>
      <w:tr w:rsidR="00C73332" w:rsidRPr="008A1A80" w14:paraId="200B12CF" w14:textId="77777777" w:rsidTr="0053DD59">
        <w:trPr>
          <w:trHeight w:val="2610"/>
        </w:trPr>
        <w:sdt>
          <w:sdtPr>
            <w:id w:val="-36820985"/>
            <w:placeholder>
              <w:docPart w:val="DefaultPlaceholder_-1854013440"/>
            </w:placeholder>
          </w:sdtPr>
          <w:sdtEndPr/>
          <w:sdtContent>
            <w:tc>
              <w:tcPr>
                <w:tcW w:w="7219" w:type="dxa"/>
              </w:tcPr>
              <w:p w14:paraId="7651FC4E" w14:textId="77777777" w:rsidR="00D85FDE" w:rsidRDefault="00D85FDE" w:rsidP="00D85FDE">
                <w:pPr>
                  <w:pStyle w:val="NormalWeb"/>
                  <w:shd w:val="clear" w:color="auto" w:fill="FFFFFF"/>
                  <w:spacing w:before="0" w:beforeAutospacing="0" w:after="180" w:afterAutospacing="0"/>
                  <w:rPr>
                    <w:rFonts w:ascii="Verdana" w:hAnsi="Verdana"/>
                    <w:color w:val="333333"/>
                  </w:rPr>
                </w:pPr>
                <w:r>
                  <w:rPr>
                    <w:rFonts w:ascii="Verdana" w:hAnsi="Verdana"/>
                    <w:color w:val="333333"/>
                  </w:rPr>
                  <w:t xml:space="preserve">The General Catalog is the University's primary official source of departmental, college and university-wide information related to academic programs. Courses, </w:t>
                </w:r>
                <w:proofErr w:type="gramStart"/>
                <w:r>
                  <w:rPr>
                    <w:rFonts w:ascii="Verdana" w:hAnsi="Verdana"/>
                    <w:color w:val="333333"/>
                  </w:rPr>
                  <w:t>programs</w:t>
                </w:r>
                <w:proofErr w:type="gramEnd"/>
                <w:r>
                  <w:rPr>
                    <w:rFonts w:ascii="Verdana" w:hAnsi="Verdana"/>
                    <w:color w:val="333333"/>
                  </w:rPr>
                  <w:t xml:space="preserve"> and policies that govern progress towards completion of an undergraduate degree are described in the General Catalog.</w:t>
                </w:r>
              </w:p>
              <w:p w14:paraId="42494202" w14:textId="77777777" w:rsidR="00D85FDE" w:rsidRDefault="00D85FDE" w:rsidP="00D85FDE">
                <w:pPr>
                  <w:pStyle w:val="NormalWeb"/>
                  <w:shd w:val="clear" w:color="auto" w:fill="FFFFFF"/>
                  <w:spacing w:before="0" w:beforeAutospacing="0" w:after="180" w:afterAutospacing="0"/>
                  <w:rPr>
                    <w:rFonts w:ascii="Verdana" w:hAnsi="Verdana"/>
                    <w:color w:val="333333"/>
                  </w:rPr>
                </w:pPr>
                <w:r>
                  <w:rPr>
                    <w:rFonts w:ascii="Verdana" w:hAnsi="Verdana"/>
                    <w:color w:val="333333"/>
                  </w:rPr>
                  <w:t>Students maintaining </w:t>
                </w:r>
                <w:hyperlink r:id="rId12" w:history="1">
                  <w:r>
                    <w:rPr>
                      <w:rStyle w:val="Hyperlink"/>
                      <w:rFonts w:ascii="Verdana" w:hAnsi="Verdana"/>
                      <w:b/>
                      <w:bCs/>
                      <w:color w:val="8F1124"/>
                    </w:rPr>
                    <w:t>continuous enrollment</w:t>
                  </w:r>
                </w:hyperlink>
                <w:r>
                  <w:rPr>
                    <w:rFonts w:ascii="Verdana" w:hAnsi="Verdana"/>
                    <w:color w:val="333333"/>
                  </w:rPr>
                  <w:t xml:space="preserve"> follow the requirements outlined by the Catalog in effect when they first enroll in the University of Arizona or in a public Arizona community college or university </w:t>
                </w:r>
                <w:r w:rsidRPr="003C72F6">
                  <w:rPr>
                    <w:rFonts w:ascii="Verdana" w:hAnsi="Verdana"/>
                    <w:strike/>
                    <w:color w:val="333333"/>
                    <w:highlight w:val="yellow"/>
                  </w:rPr>
                  <w:t>(i.e., term of admission)</w:t>
                </w:r>
                <w:r>
                  <w:rPr>
                    <w:rFonts w:ascii="Verdana" w:hAnsi="Verdana"/>
                    <w:color w:val="333333"/>
                  </w:rPr>
                  <w:t xml:space="preserve">. </w:t>
                </w:r>
                <w:r w:rsidRPr="00464407">
                  <w:rPr>
                    <w:rFonts w:ascii="Verdana" w:hAnsi="Verdana"/>
                    <w:strike/>
                    <w:color w:val="333333"/>
                    <w:highlight w:val="yellow"/>
                  </w:rPr>
                  <w:t xml:space="preserve">The Catalog of the term of admission prescribes, at the minimum, the General Education curriculum and the set of academic policies that govern progress toward completion of a degree. The Catalog of </w:t>
                </w:r>
                <w:r w:rsidRPr="00464407">
                  <w:rPr>
                    <w:rFonts w:ascii="Verdana" w:hAnsi="Verdana"/>
                    <w:strike/>
                    <w:color w:val="333333"/>
                    <w:highlight w:val="yellow"/>
                  </w:rPr>
                  <w:lastRenderedPageBreak/>
                  <w:t>the term of admission also describes the program requirements of the student's major(s) and minor(s</w:t>
                </w:r>
                <w:proofErr w:type="gramStart"/>
                <w:r w:rsidRPr="00464407">
                  <w:rPr>
                    <w:rFonts w:ascii="Verdana" w:hAnsi="Verdana"/>
                    <w:strike/>
                    <w:color w:val="333333"/>
                    <w:highlight w:val="yellow"/>
                  </w:rPr>
                  <w:t>), unless</w:t>
                </w:r>
                <w:proofErr w:type="gramEnd"/>
                <w:r w:rsidRPr="00464407">
                  <w:rPr>
                    <w:rFonts w:ascii="Verdana" w:hAnsi="Verdana"/>
                    <w:strike/>
                    <w:color w:val="333333"/>
                    <w:highlight w:val="yellow"/>
                  </w:rPr>
                  <w:t xml:space="preserve"> the student selects a subsequent Catalog in order to declare a newly established major or minor that was unavailable during the term of admission. In this situation, the Catalog of the admission term holds for the degree components indicated above, but a more recent Catalog is designated for (a) the major requirements, associated pre-professional requirements and related policies, or (b) the minor requirements and related policies. Thus, a student's primary Catalog may be supplemented by one or more newer Catalogs that pertain solely to a major and/or a minor.</w:t>
                </w:r>
              </w:p>
              <w:p w14:paraId="0F76225E" w14:textId="77777777" w:rsidR="00D85FDE" w:rsidRDefault="00D85FDE" w:rsidP="00D85FDE">
                <w:pPr>
                  <w:pStyle w:val="NormalWeb"/>
                  <w:shd w:val="clear" w:color="auto" w:fill="FFFFFF"/>
                  <w:spacing w:before="0" w:beforeAutospacing="0" w:after="180" w:afterAutospacing="0"/>
                  <w:rPr>
                    <w:rFonts w:ascii="Verdana" w:hAnsi="Verdana"/>
                    <w:color w:val="333333"/>
                  </w:rPr>
                </w:pPr>
                <w:r w:rsidRPr="00BE229B">
                  <w:rPr>
                    <w:rFonts w:ascii="Verdana" w:hAnsi="Verdana"/>
                    <w:strike/>
                    <w:color w:val="333333"/>
                    <w:highlight w:val="yellow"/>
                  </w:rPr>
                  <w:t xml:space="preserve">Alternatively, a student </w:t>
                </w:r>
                <w:r w:rsidRPr="00826200">
                  <w:rPr>
                    <w:rFonts w:ascii="Verdana" w:hAnsi="Verdana"/>
                    <w:color w:val="333333"/>
                  </w:rPr>
                  <w:t xml:space="preserve">may choose to follow </w:t>
                </w:r>
                <w:proofErr w:type="gramStart"/>
                <w:r w:rsidRPr="00826200">
                  <w:rPr>
                    <w:rFonts w:ascii="Verdana" w:hAnsi="Verdana"/>
                    <w:color w:val="333333"/>
                  </w:rPr>
                  <w:t>all of</w:t>
                </w:r>
                <w:proofErr w:type="gramEnd"/>
                <w:r w:rsidRPr="00826200">
                  <w:rPr>
                    <w:rFonts w:ascii="Verdana" w:hAnsi="Verdana"/>
                    <w:color w:val="333333"/>
                  </w:rPr>
                  <w:t xml:space="preserve"> the </w:t>
                </w:r>
                <w:r w:rsidRPr="00826200">
                  <w:rPr>
                    <w:rFonts w:ascii="Verdana" w:hAnsi="Verdana"/>
                    <w:strike/>
                    <w:color w:val="333333"/>
                    <w:highlight w:val="yellow"/>
                  </w:rPr>
                  <w:t>program</w:t>
                </w:r>
                <w:r w:rsidRPr="00826200">
                  <w:rPr>
                    <w:rFonts w:ascii="Verdana" w:hAnsi="Verdana"/>
                    <w:color w:val="333333"/>
                  </w:rPr>
                  <w:t xml:space="preserve"> and policy requirements outlined by any single Catalog in effect during </w:t>
                </w:r>
                <w:r w:rsidRPr="00B01F79">
                  <w:rPr>
                    <w:rFonts w:ascii="Verdana" w:hAnsi="Verdana"/>
                    <w:strike/>
                    <w:color w:val="333333"/>
                    <w:highlight w:val="yellow"/>
                  </w:rPr>
                  <w:t>subsequent</w:t>
                </w:r>
                <w:r w:rsidRPr="00826200">
                  <w:rPr>
                    <w:rFonts w:ascii="Verdana" w:hAnsi="Verdana"/>
                    <w:color w:val="333333"/>
                  </w:rPr>
                  <w:t xml:space="preserve"> term</w:t>
                </w:r>
                <w:r w:rsidRPr="00B01F79">
                  <w:rPr>
                    <w:rFonts w:ascii="Verdana" w:hAnsi="Verdana"/>
                    <w:strike/>
                    <w:color w:val="333333"/>
                    <w:highlight w:val="yellow"/>
                  </w:rPr>
                  <w:t>s</w:t>
                </w:r>
                <w:r w:rsidRPr="00826200">
                  <w:rPr>
                    <w:rFonts w:ascii="Verdana" w:hAnsi="Verdana"/>
                    <w:color w:val="333333"/>
                  </w:rPr>
                  <w:t xml:space="preserve"> of continuous enrollment. </w:t>
                </w:r>
                <w:r>
                  <w:rPr>
                    <w:rFonts w:ascii="Verdana" w:hAnsi="Verdana"/>
                    <w:color w:val="333333"/>
                  </w:rPr>
                  <w:t>Each student is responsible for knowing and abiding by the policies described in the Catalog chosen. See </w:t>
                </w:r>
                <w:hyperlink r:id="rId13" w:history="1">
                  <w:r>
                    <w:rPr>
                      <w:rStyle w:val="Hyperlink"/>
                      <w:rFonts w:ascii="Verdana" w:hAnsi="Verdana"/>
                      <w:b/>
                      <w:bCs/>
                      <w:color w:val="8F1124"/>
                    </w:rPr>
                    <w:t>Policies</w:t>
                  </w:r>
                </w:hyperlink>
                <w:r>
                  <w:rPr>
                    <w:rFonts w:ascii="Verdana" w:hAnsi="Verdana"/>
                    <w:color w:val="333333"/>
                  </w:rPr>
                  <w:t>.</w:t>
                </w:r>
              </w:p>
              <w:p w14:paraId="5C3ACDE2" w14:textId="103CBB5B" w:rsidR="00C73332" w:rsidRPr="00D85FDE" w:rsidRDefault="00D85FDE" w:rsidP="00974648">
                <w:pPr>
                  <w:pStyle w:val="NormalWeb"/>
                  <w:shd w:val="clear" w:color="auto" w:fill="FFFFFF"/>
                  <w:spacing w:before="0" w:beforeAutospacing="0" w:after="180" w:afterAutospacing="0"/>
                  <w:rPr>
                    <w:rFonts w:ascii="Verdana" w:hAnsi="Verdana"/>
                    <w:color w:val="333333"/>
                  </w:rPr>
                </w:pPr>
                <w:r>
                  <w:rPr>
                    <w:rFonts w:ascii="Verdana" w:hAnsi="Verdana"/>
                    <w:color w:val="333333"/>
                  </w:rPr>
                  <w:t>Students admitted or readmitted to a public Arizona community college or university during a summer term follow the requirements of the Catalog in effect the following Fall semester. Students transferring among Arizona public higher education institutions must meet the admission requirements, residency requirements, and all curricular and academic requirements of the degree-granting institution.</w:t>
                </w:r>
              </w:p>
            </w:tc>
          </w:sdtContent>
        </w:sdt>
        <w:sdt>
          <w:sdtPr>
            <w:id w:val="327259878"/>
            <w:placeholder>
              <w:docPart w:val="DefaultPlaceholder_-1854013440"/>
            </w:placeholder>
          </w:sdtPr>
          <w:sdtEndPr/>
          <w:sdtContent>
            <w:tc>
              <w:tcPr>
                <w:tcW w:w="7219" w:type="dxa"/>
              </w:tcPr>
              <w:p w14:paraId="5BC04D4D" w14:textId="77777777" w:rsidR="00D85FDE" w:rsidRDefault="00D85FDE" w:rsidP="00D85FDE">
                <w:pPr>
                  <w:pStyle w:val="NormalWeb"/>
                  <w:shd w:val="clear" w:color="auto" w:fill="FFFFFF"/>
                  <w:spacing w:before="0" w:beforeAutospacing="0" w:after="180" w:afterAutospacing="0"/>
                  <w:rPr>
                    <w:rFonts w:ascii="Verdana" w:hAnsi="Verdana"/>
                    <w:color w:val="333333"/>
                  </w:rPr>
                </w:pPr>
                <w:r>
                  <w:rPr>
                    <w:rFonts w:ascii="Verdana" w:hAnsi="Verdana"/>
                    <w:color w:val="333333"/>
                  </w:rPr>
                  <w:t xml:space="preserve">The General Catalog is the University's primary official source of departmental, college and university-wide information related to academic programs. Courses, </w:t>
                </w:r>
                <w:proofErr w:type="gramStart"/>
                <w:r>
                  <w:rPr>
                    <w:rFonts w:ascii="Verdana" w:hAnsi="Verdana"/>
                    <w:color w:val="333333"/>
                  </w:rPr>
                  <w:t>programs</w:t>
                </w:r>
                <w:proofErr w:type="gramEnd"/>
                <w:r>
                  <w:rPr>
                    <w:rFonts w:ascii="Verdana" w:hAnsi="Verdana"/>
                    <w:color w:val="333333"/>
                  </w:rPr>
                  <w:t xml:space="preserve"> and policies that govern progress towards completion of an undergraduate degree are described in the General Catalog.</w:t>
                </w:r>
              </w:p>
              <w:p w14:paraId="649A0C07" w14:textId="77777777" w:rsidR="003C4F14" w:rsidRDefault="00D85FDE" w:rsidP="00D85FDE">
                <w:pPr>
                  <w:pStyle w:val="NormalWeb"/>
                  <w:shd w:val="clear" w:color="auto" w:fill="FFFFFF"/>
                  <w:spacing w:before="0" w:beforeAutospacing="0" w:after="180" w:afterAutospacing="0"/>
                  <w:rPr>
                    <w:rFonts w:ascii="Verdana" w:hAnsi="Verdana"/>
                    <w:color w:val="333333"/>
                  </w:rPr>
                </w:pPr>
                <w:r>
                  <w:rPr>
                    <w:rFonts w:ascii="Verdana" w:hAnsi="Verdana"/>
                    <w:color w:val="333333"/>
                  </w:rPr>
                  <w:t>Students maintaining </w:t>
                </w:r>
                <w:hyperlink r:id="rId14" w:history="1">
                  <w:r>
                    <w:rPr>
                      <w:rStyle w:val="Hyperlink"/>
                      <w:rFonts w:ascii="Verdana" w:hAnsi="Verdana"/>
                      <w:b/>
                      <w:bCs/>
                      <w:color w:val="8F1124"/>
                    </w:rPr>
                    <w:t>continuous enrollment</w:t>
                  </w:r>
                </w:hyperlink>
                <w:r>
                  <w:rPr>
                    <w:rFonts w:ascii="Verdana" w:hAnsi="Verdana"/>
                    <w:color w:val="333333"/>
                  </w:rPr>
                  <w:t xml:space="preserve"> follow the requirements outlined by the Catalog in effect </w:t>
                </w:r>
                <w:r w:rsidR="0032677C" w:rsidRPr="0032677C">
                  <w:rPr>
                    <w:rFonts w:ascii="Verdana" w:hAnsi="Verdana"/>
                    <w:color w:val="333333"/>
                    <w:highlight w:val="green"/>
                  </w:rPr>
                  <w:t xml:space="preserve">during their </w:t>
                </w:r>
                <w:r w:rsidR="0032677C" w:rsidRPr="0032677C">
                  <w:rPr>
                    <w:rFonts w:ascii="Verdana" w:hAnsi="Verdana"/>
                    <w:b/>
                    <w:bCs/>
                    <w:color w:val="333333"/>
                    <w:highlight w:val="green"/>
                  </w:rPr>
                  <w:t>term of admission</w:t>
                </w:r>
                <w:r w:rsidR="0032677C" w:rsidRPr="0032677C">
                  <w:rPr>
                    <w:rFonts w:ascii="Verdana" w:hAnsi="Verdana"/>
                    <w:color w:val="333333"/>
                    <w:highlight w:val="green"/>
                  </w:rPr>
                  <w:t xml:space="preserve">. The term of admission is the first term in which a student </w:t>
                </w:r>
                <w:r w:rsidRPr="0032677C">
                  <w:rPr>
                    <w:rFonts w:ascii="Verdana" w:hAnsi="Verdana"/>
                    <w:color w:val="333333"/>
                  </w:rPr>
                  <w:t>enroll</w:t>
                </w:r>
                <w:r w:rsidR="0032677C" w:rsidRPr="0032677C">
                  <w:rPr>
                    <w:rFonts w:ascii="Verdana" w:hAnsi="Verdana"/>
                    <w:color w:val="333333"/>
                    <w:highlight w:val="green"/>
                  </w:rPr>
                  <w:t>s</w:t>
                </w:r>
                <w:r w:rsidRPr="0032677C">
                  <w:rPr>
                    <w:rFonts w:ascii="Verdana" w:hAnsi="Verdana"/>
                    <w:color w:val="333333"/>
                  </w:rPr>
                  <w:t xml:space="preserve"> in the University of Arizona or in a public Arizona community college or university.</w:t>
                </w:r>
                <w:r>
                  <w:rPr>
                    <w:rFonts w:ascii="Verdana" w:hAnsi="Verdana"/>
                    <w:color w:val="333333"/>
                  </w:rPr>
                  <w:t xml:space="preserve"> </w:t>
                </w:r>
              </w:p>
              <w:p w14:paraId="4E791195" w14:textId="694058C2" w:rsidR="000931EA" w:rsidRDefault="000931EA" w:rsidP="00D85FDE">
                <w:pPr>
                  <w:pStyle w:val="NormalWeb"/>
                  <w:shd w:val="clear" w:color="auto" w:fill="FFFFFF"/>
                  <w:spacing w:before="0" w:beforeAutospacing="0" w:after="180" w:afterAutospacing="0"/>
                  <w:rPr>
                    <w:rFonts w:ascii="Verdana" w:hAnsi="Verdana"/>
                    <w:color w:val="333333"/>
                  </w:rPr>
                </w:pPr>
                <w:r w:rsidRPr="00B819DC">
                  <w:rPr>
                    <w:rFonts w:ascii="Verdana" w:hAnsi="Verdana"/>
                    <w:color w:val="333333"/>
                  </w:rPr>
                  <w:t xml:space="preserve">Students transferring among Arizona public higher education institutions must meet the admission </w:t>
                </w:r>
                <w:r w:rsidRPr="00B819DC">
                  <w:rPr>
                    <w:rFonts w:ascii="Verdana" w:hAnsi="Verdana"/>
                    <w:color w:val="333333"/>
                  </w:rPr>
                  <w:lastRenderedPageBreak/>
                  <w:t>requirements, residency requirements, and all curricular and academic requirements of the degree-granting institution.</w:t>
                </w:r>
              </w:p>
              <w:p w14:paraId="18D7AD98" w14:textId="77777777" w:rsidR="00E840B8" w:rsidRPr="00BC5ABA" w:rsidRDefault="00D85FDE" w:rsidP="00D85FDE">
                <w:pPr>
                  <w:pStyle w:val="NormalWeb"/>
                  <w:shd w:val="clear" w:color="auto" w:fill="FFFFFF"/>
                  <w:spacing w:before="0" w:beforeAutospacing="0" w:after="180" w:afterAutospacing="0"/>
                  <w:rPr>
                    <w:rFonts w:ascii="Verdana" w:hAnsi="Verdana"/>
                    <w:color w:val="333333"/>
                    <w:highlight w:val="green"/>
                  </w:rPr>
                </w:pPr>
                <w:r w:rsidRPr="00BC5ABA">
                  <w:rPr>
                    <w:rFonts w:ascii="Verdana" w:hAnsi="Verdana"/>
                    <w:color w:val="333333"/>
                    <w:highlight w:val="green"/>
                  </w:rPr>
                  <w:t>The Catalog of the term of admission prescribes</w:t>
                </w:r>
                <w:r w:rsidR="00E840B8" w:rsidRPr="00BC5ABA">
                  <w:rPr>
                    <w:rFonts w:ascii="Verdana" w:hAnsi="Verdana"/>
                    <w:color w:val="333333"/>
                    <w:highlight w:val="green"/>
                  </w:rPr>
                  <w:t xml:space="preserve"> the following:</w:t>
                </w:r>
                <w:r w:rsidRPr="00BC5ABA">
                  <w:rPr>
                    <w:rFonts w:ascii="Verdana" w:hAnsi="Verdana"/>
                    <w:color w:val="333333"/>
                    <w:highlight w:val="green"/>
                  </w:rPr>
                  <w:t xml:space="preserve"> </w:t>
                </w:r>
              </w:p>
              <w:p w14:paraId="77C21C3C" w14:textId="041A42E1" w:rsidR="00DA3F26" w:rsidRPr="00BC5ABA" w:rsidRDefault="00D85FDE" w:rsidP="00E840B8">
                <w:pPr>
                  <w:pStyle w:val="NormalWeb"/>
                  <w:numPr>
                    <w:ilvl w:val="0"/>
                    <w:numId w:val="8"/>
                  </w:numPr>
                  <w:shd w:val="clear" w:color="auto" w:fill="FFFFFF"/>
                  <w:spacing w:before="0" w:beforeAutospacing="0" w:after="180" w:afterAutospacing="0"/>
                  <w:rPr>
                    <w:rFonts w:ascii="Verdana" w:hAnsi="Verdana"/>
                    <w:color w:val="333333"/>
                    <w:highlight w:val="green"/>
                  </w:rPr>
                </w:pPr>
                <w:r w:rsidRPr="00BC5ABA">
                  <w:rPr>
                    <w:rFonts w:ascii="Verdana" w:hAnsi="Verdana"/>
                    <w:color w:val="333333"/>
                    <w:highlight w:val="green"/>
                  </w:rPr>
                  <w:t xml:space="preserve">General Education </w:t>
                </w:r>
                <w:r w:rsidR="006641F2" w:rsidRPr="00BC5ABA">
                  <w:rPr>
                    <w:rFonts w:ascii="Verdana" w:hAnsi="Verdana"/>
                    <w:color w:val="333333"/>
                    <w:highlight w:val="green"/>
                  </w:rPr>
                  <w:t>requirements</w:t>
                </w:r>
                <w:r w:rsidRPr="00BC5ABA">
                  <w:rPr>
                    <w:rFonts w:ascii="Verdana" w:hAnsi="Verdana"/>
                    <w:color w:val="333333"/>
                    <w:highlight w:val="green"/>
                  </w:rPr>
                  <w:t xml:space="preserve"> </w:t>
                </w:r>
              </w:p>
              <w:p w14:paraId="616D5DA8" w14:textId="6BD51D9A" w:rsidR="00DA3F26" w:rsidRPr="00BC5ABA" w:rsidRDefault="00267B8E" w:rsidP="00E840B8">
                <w:pPr>
                  <w:pStyle w:val="NormalWeb"/>
                  <w:numPr>
                    <w:ilvl w:val="0"/>
                    <w:numId w:val="8"/>
                  </w:numPr>
                  <w:shd w:val="clear" w:color="auto" w:fill="FFFFFF"/>
                  <w:spacing w:before="0" w:beforeAutospacing="0" w:after="180" w:afterAutospacing="0"/>
                  <w:rPr>
                    <w:rFonts w:ascii="Verdana" w:hAnsi="Verdana"/>
                    <w:color w:val="333333"/>
                    <w:highlight w:val="green"/>
                  </w:rPr>
                </w:pPr>
                <w:r w:rsidRPr="00BC5ABA">
                  <w:rPr>
                    <w:rFonts w:ascii="Verdana" w:hAnsi="Verdana"/>
                    <w:color w:val="333333"/>
                    <w:highlight w:val="green"/>
                  </w:rPr>
                  <w:t>A</w:t>
                </w:r>
                <w:r w:rsidR="00D85FDE" w:rsidRPr="00BC5ABA">
                  <w:rPr>
                    <w:rFonts w:ascii="Verdana" w:hAnsi="Verdana"/>
                    <w:color w:val="333333"/>
                    <w:highlight w:val="green"/>
                  </w:rPr>
                  <w:t xml:space="preserve">cademic policies that govern progress toward completion of a degree </w:t>
                </w:r>
              </w:p>
              <w:p w14:paraId="7B6273E3" w14:textId="7A4BF6BB" w:rsidR="00D85FDE" w:rsidRPr="00BC5ABA" w:rsidRDefault="00267B8E" w:rsidP="00E840B8">
                <w:pPr>
                  <w:pStyle w:val="NormalWeb"/>
                  <w:numPr>
                    <w:ilvl w:val="0"/>
                    <w:numId w:val="8"/>
                  </w:numPr>
                  <w:shd w:val="clear" w:color="auto" w:fill="FFFFFF"/>
                  <w:spacing w:before="0" w:beforeAutospacing="0" w:after="180" w:afterAutospacing="0"/>
                  <w:rPr>
                    <w:rFonts w:ascii="Verdana" w:hAnsi="Verdana"/>
                    <w:color w:val="333333"/>
                    <w:highlight w:val="green"/>
                  </w:rPr>
                </w:pPr>
                <w:r w:rsidRPr="00BC5ABA">
                  <w:rPr>
                    <w:rFonts w:ascii="Verdana" w:hAnsi="Verdana"/>
                    <w:color w:val="333333"/>
                    <w:highlight w:val="green"/>
                  </w:rPr>
                  <w:t>P</w:t>
                </w:r>
                <w:r w:rsidR="00D85FDE" w:rsidRPr="00BC5ABA">
                  <w:rPr>
                    <w:rFonts w:ascii="Verdana" w:hAnsi="Verdana"/>
                    <w:color w:val="333333"/>
                    <w:highlight w:val="green"/>
                  </w:rPr>
                  <w:t>rogram requirements of the student's major(s)</w:t>
                </w:r>
                <w:r w:rsidR="00F45AB9">
                  <w:rPr>
                    <w:rFonts w:ascii="Verdana" w:hAnsi="Verdana"/>
                    <w:color w:val="333333"/>
                    <w:highlight w:val="green"/>
                  </w:rPr>
                  <w:t>,</w:t>
                </w:r>
                <w:r w:rsidR="00D85FDE" w:rsidRPr="00BC5ABA">
                  <w:rPr>
                    <w:rFonts w:ascii="Verdana" w:hAnsi="Verdana"/>
                    <w:color w:val="333333"/>
                    <w:highlight w:val="green"/>
                  </w:rPr>
                  <w:t xml:space="preserve"> minor(s)</w:t>
                </w:r>
                <w:r w:rsidR="00F45AB9">
                  <w:rPr>
                    <w:rFonts w:ascii="Verdana" w:hAnsi="Verdana"/>
                    <w:color w:val="333333"/>
                    <w:highlight w:val="green"/>
                  </w:rPr>
                  <w:t>, and certificate(s)</w:t>
                </w:r>
              </w:p>
              <w:p w14:paraId="747E6FFC" w14:textId="77777777" w:rsidR="002971FE" w:rsidRDefault="002971FE" w:rsidP="002971FE">
                <w:pPr>
                  <w:pStyle w:val="Heading2"/>
                  <w:outlineLvl w:val="1"/>
                </w:pPr>
                <w:r w:rsidRPr="00065813">
                  <w:rPr>
                    <w:highlight w:val="green"/>
                  </w:rPr>
                  <w:t>Students Admitted in Summer</w:t>
                </w:r>
              </w:p>
              <w:p w14:paraId="5CC108E0" w14:textId="71D026B5" w:rsidR="002971FE" w:rsidRPr="00B819DC" w:rsidRDefault="002971FE" w:rsidP="002971FE">
                <w:pPr>
                  <w:pStyle w:val="Heading2"/>
                  <w:outlineLvl w:val="1"/>
                  <w:rPr>
                    <w:sz w:val="24"/>
                    <w:szCs w:val="24"/>
                    <w:highlight w:val="green"/>
                  </w:rPr>
                </w:pPr>
                <w:r w:rsidRPr="00B819DC">
                  <w:rPr>
                    <w:rFonts w:ascii="Verdana" w:hAnsi="Verdana"/>
                    <w:color w:val="333333"/>
                    <w:sz w:val="24"/>
                    <w:szCs w:val="24"/>
                  </w:rPr>
                  <w:t xml:space="preserve">Students admitted or readmitted to a public Arizona community college or university during a summer term follow the requirements of the Catalog in effect the following Fall semester. </w:t>
                </w:r>
              </w:p>
              <w:p w14:paraId="6BBAC2AA" w14:textId="77777777" w:rsidR="002971FE" w:rsidRDefault="002971FE" w:rsidP="00B36954">
                <w:pPr>
                  <w:pStyle w:val="Heading2"/>
                  <w:outlineLvl w:val="1"/>
                  <w:rPr>
                    <w:highlight w:val="green"/>
                  </w:rPr>
                </w:pPr>
              </w:p>
              <w:p w14:paraId="782A713E" w14:textId="36D78263" w:rsidR="00C611B8" w:rsidRPr="00BE229B" w:rsidRDefault="00C611B8" w:rsidP="00B36954">
                <w:pPr>
                  <w:pStyle w:val="Heading2"/>
                  <w:outlineLvl w:val="1"/>
                  <w:rPr>
                    <w:highlight w:val="green"/>
                  </w:rPr>
                </w:pPr>
                <w:r w:rsidRPr="00BE229B">
                  <w:rPr>
                    <w:highlight w:val="green"/>
                  </w:rPr>
                  <w:t>Choosing a</w:t>
                </w:r>
                <w:r w:rsidR="00B36954" w:rsidRPr="00BE229B">
                  <w:rPr>
                    <w:highlight w:val="green"/>
                  </w:rPr>
                  <w:t xml:space="preserve"> </w:t>
                </w:r>
                <w:r w:rsidR="007E6B4F">
                  <w:rPr>
                    <w:highlight w:val="green"/>
                  </w:rPr>
                  <w:t>Newer</w:t>
                </w:r>
                <w:r w:rsidR="00B36954" w:rsidRPr="00BE229B">
                  <w:rPr>
                    <w:highlight w:val="green"/>
                  </w:rPr>
                  <w:t xml:space="preserve"> Catalog</w:t>
                </w:r>
              </w:p>
              <w:p w14:paraId="483CCFDD" w14:textId="64C4D605" w:rsidR="00A8033B" w:rsidRPr="00BE229B" w:rsidRDefault="00A8033B" w:rsidP="00B36954">
                <w:pPr>
                  <w:spacing w:line="240" w:lineRule="auto"/>
                  <w:rPr>
                    <w:rFonts w:ascii="Verdana" w:eastAsia="Times New Roman" w:hAnsi="Verdana" w:cs="Times New Roman"/>
                    <w:color w:val="333333"/>
                    <w:sz w:val="24"/>
                    <w:szCs w:val="24"/>
                    <w:highlight w:val="green"/>
                  </w:rPr>
                </w:pPr>
                <w:r w:rsidRPr="00BE229B">
                  <w:rPr>
                    <w:rFonts w:ascii="Verdana" w:eastAsia="Times New Roman" w:hAnsi="Verdana" w:cs="Times New Roman"/>
                    <w:color w:val="333333"/>
                    <w:sz w:val="24"/>
                    <w:szCs w:val="24"/>
                    <w:highlight w:val="green"/>
                  </w:rPr>
                  <w:t xml:space="preserve">Students may choose </w:t>
                </w:r>
                <w:r w:rsidR="00A06FBC" w:rsidRPr="00BE229B">
                  <w:rPr>
                    <w:rFonts w:ascii="Verdana" w:eastAsia="Times New Roman" w:hAnsi="Verdana" w:cs="Times New Roman"/>
                    <w:color w:val="333333"/>
                    <w:sz w:val="24"/>
                    <w:szCs w:val="24"/>
                    <w:highlight w:val="green"/>
                  </w:rPr>
                  <w:t xml:space="preserve">to follow a Catalog </w:t>
                </w:r>
                <w:r w:rsidR="005D1AB5">
                  <w:rPr>
                    <w:rFonts w:ascii="Verdana" w:eastAsia="Times New Roman" w:hAnsi="Verdana" w:cs="Times New Roman"/>
                    <w:color w:val="333333"/>
                    <w:sz w:val="24"/>
                    <w:szCs w:val="24"/>
                    <w:highlight w:val="green"/>
                  </w:rPr>
                  <w:t>after</w:t>
                </w:r>
                <w:r w:rsidR="00A06FBC" w:rsidRPr="00BE229B">
                  <w:rPr>
                    <w:rFonts w:ascii="Verdana" w:eastAsia="Times New Roman" w:hAnsi="Verdana" w:cs="Times New Roman"/>
                    <w:color w:val="333333"/>
                    <w:sz w:val="24"/>
                    <w:szCs w:val="24"/>
                    <w:highlight w:val="green"/>
                  </w:rPr>
                  <w:t xml:space="preserve"> their term of admission</w:t>
                </w:r>
                <w:r w:rsidR="00B3585D">
                  <w:rPr>
                    <w:rFonts w:ascii="Verdana" w:eastAsia="Times New Roman" w:hAnsi="Verdana" w:cs="Times New Roman"/>
                    <w:color w:val="333333"/>
                    <w:sz w:val="24"/>
                    <w:szCs w:val="24"/>
                    <w:highlight w:val="green"/>
                  </w:rPr>
                  <w:t xml:space="preserve"> or readmission</w:t>
                </w:r>
                <w:r w:rsidR="00A06FBC" w:rsidRPr="00BE229B">
                  <w:rPr>
                    <w:rFonts w:ascii="Verdana" w:eastAsia="Times New Roman" w:hAnsi="Verdana" w:cs="Times New Roman"/>
                    <w:color w:val="333333"/>
                    <w:sz w:val="24"/>
                    <w:szCs w:val="24"/>
                    <w:highlight w:val="green"/>
                  </w:rPr>
                  <w:t xml:space="preserve">. </w:t>
                </w:r>
                <w:r w:rsidR="005E5338" w:rsidRPr="00BE229B">
                  <w:rPr>
                    <w:rFonts w:ascii="Verdana" w:eastAsia="Times New Roman" w:hAnsi="Verdana" w:cs="Times New Roman"/>
                    <w:color w:val="333333"/>
                    <w:sz w:val="24"/>
                    <w:szCs w:val="24"/>
                    <w:highlight w:val="green"/>
                  </w:rPr>
                  <w:t>This may be done in</w:t>
                </w:r>
                <w:r w:rsidR="0013520B" w:rsidRPr="00BE229B">
                  <w:rPr>
                    <w:rFonts w:ascii="Verdana" w:eastAsia="Times New Roman" w:hAnsi="Verdana" w:cs="Times New Roman"/>
                    <w:color w:val="333333"/>
                    <w:sz w:val="24"/>
                    <w:szCs w:val="24"/>
                    <w:highlight w:val="green"/>
                  </w:rPr>
                  <w:t xml:space="preserve"> one of</w:t>
                </w:r>
                <w:r w:rsidR="005E5338" w:rsidRPr="00BE229B">
                  <w:rPr>
                    <w:rFonts w:ascii="Verdana" w:eastAsia="Times New Roman" w:hAnsi="Verdana" w:cs="Times New Roman"/>
                    <w:color w:val="333333"/>
                    <w:sz w:val="24"/>
                    <w:szCs w:val="24"/>
                    <w:highlight w:val="green"/>
                  </w:rPr>
                  <w:t xml:space="preserve"> two </w:t>
                </w:r>
                <w:r w:rsidR="003A7454" w:rsidRPr="00BE229B">
                  <w:rPr>
                    <w:rFonts w:ascii="Verdana" w:eastAsia="Times New Roman" w:hAnsi="Verdana" w:cs="Times New Roman"/>
                    <w:color w:val="333333"/>
                    <w:sz w:val="24"/>
                    <w:szCs w:val="24"/>
                    <w:highlight w:val="green"/>
                  </w:rPr>
                  <w:t>ways:</w:t>
                </w:r>
              </w:p>
              <w:p w14:paraId="5C9BBD1A" w14:textId="399F32EE" w:rsidR="001275F7" w:rsidRDefault="003A7454" w:rsidP="003A7454">
                <w:pPr>
                  <w:pStyle w:val="ListParagraph"/>
                  <w:numPr>
                    <w:ilvl w:val="0"/>
                    <w:numId w:val="9"/>
                  </w:numPr>
                  <w:spacing w:line="240" w:lineRule="auto"/>
                  <w:rPr>
                    <w:rFonts w:ascii="Verdana" w:eastAsia="Times New Roman" w:hAnsi="Verdana" w:cs="Times New Roman"/>
                    <w:color w:val="333333"/>
                    <w:sz w:val="24"/>
                    <w:szCs w:val="24"/>
                    <w:highlight w:val="green"/>
                  </w:rPr>
                </w:pPr>
                <w:r w:rsidRPr="00BE229B">
                  <w:rPr>
                    <w:rFonts w:ascii="Verdana" w:eastAsia="Times New Roman" w:hAnsi="Verdana" w:cs="Times New Roman"/>
                    <w:color w:val="333333"/>
                    <w:sz w:val="24"/>
                    <w:szCs w:val="24"/>
                    <w:highlight w:val="green"/>
                  </w:rPr>
                  <w:t>Students may select a new</w:t>
                </w:r>
                <w:r w:rsidR="00372477" w:rsidRPr="00BE229B">
                  <w:rPr>
                    <w:rFonts w:ascii="Verdana" w:eastAsia="Times New Roman" w:hAnsi="Verdana" w:cs="Times New Roman"/>
                    <w:color w:val="333333"/>
                    <w:sz w:val="24"/>
                    <w:szCs w:val="24"/>
                    <w:highlight w:val="green"/>
                  </w:rPr>
                  <w:t xml:space="preserve"> Catalog for their </w:t>
                </w:r>
                <w:r w:rsidR="00372477" w:rsidRPr="00741433">
                  <w:rPr>
                    <w:rFonts w:ascii="Verdana" w:eastAsia="Times New Roman" w:hAnsi="Verdana" w:cs="Times New Roman"/>
                    <w:b/>
                    <w:bCs/>
                    <w:color w:val="333333"/>
                    <w:sz w:val="24"/>
                    <w:szCs w:val="24"/>
                    <w:highlight w:val="green"/>
                  </w:rPr>
                  <w:t>major</w:t>
                </w:r>
                <w:r w:rsidR="005977B6" w:rsidRPr="00741433">
                  <w:rPr>
                    <w:rFonts w:ascii="Verdana" w:eastAsia="Times New Roman" w:hAnsi="Verdana" w:cs="Times New Roman"/>
                    <w:b/>
                    <w:bCs/>
                    <w:color w:val="333333"/>
                    <w:sz w:val="24"/>
                    <w:szCs w:val="24"/>
                    <w:highlight w:val="green"/>
                  </w:rPr>
                  <w:t>,</w:t>
                </w:r>
                <w:r w:rsidR="00372477" w:rsidRPr="00741433">
                  <w:rPr>
                    <w:rFonts w:ascii="Verdana" w:eastAsia="Times New Roman" w:hAnsi="Verdana" w:cs="Times New Roman"/>
                    <w:b/>
                    <w:bCs/>
                    <w:color w:val="333333"/>
                    <w:sz w:val="24"/>
                    <w:szCs w:val="24"/>
                    <w:highlight w:val="green"/>
                  </w:rPr>
                  <w:t xml:space="preserve"> minor</w:t>
                </w:r>
                <w:r w:rsidR="001B33D8" w:rsidRPr="00741433">
                  <w:rPr>
                    <w:rFonts w:ascii="Verdana" w:eastAsia="Times New Roman" w:hAnsi="Verdana" w:cs="Times New Roman"/>
                    <w:b/>
                    <w:bCs/>
                    <w:color w:val="333333"/>
                    <w:sz w:val="24"/>
                    <w:szCs w:val="24"/>
                    <w:highlight w:val="green"/>
                  </w:rPr>
                  <w:t>,</w:t>
                </w:r>
                <w:r w:rsidR="005977B6" w:rsidRPr="00741433">
                  <w:rPr>
                    <w:rFonts w:ascii="Verdana" w:eastAsia="Times New Roman" w:hAnsi="Verdana" w:cs="Times New Roman"/>
                    <w:b/>
                    <w:bCs/>
                    <w:color w:val="333333"/>
                    <w:sz w:val="24"/>
                    <w:szCs w:val="24"/>
                    <w:highlight w:val="green"/>
                  </w:rPr>
                  <w:t xml:space="preserve"> or certificate</w:t>
                </w:r>
                <w:r w:rsidR="00372477" w:rsidRPr="00741433">
                  <w:rPr>
                    <w:rFonts w:ascii="Verdana" w:eastAsia="Times New Roman" w:hAnsi="Verdana" w:cs="Times New Roman"/>
                    <w:b/>
                    <w:bCs/>
                    <w:color w:val="333333"/>
                    <w:sz w:val="24"/>
                    <w:szCs w:val="24"/>
                    <w:highlight w:val="green"/>
                  </w:rPr>
                  <w:t xml:space="preserve"> only</w:t>
                </w:r>
                <w:r w:rsidR="00372477" w:rsidRPr="00BE229B">
                  <w:rPr>
                    <w:rFonts w:ascii="Verdana" w:eastAsia="Times New Roman" w:hAnsi="Verdana" w:cs="Times New Roman"/>
                    <w:color w:val="333333"/>
                    <w:sz w:val="24"/>
                    <w:szCs w:val="24"/>
                    <w:highlight w:val="green"/>
                  </w:rPr>
                  <w:t xml:space="preserve">, </w:t>
                </w:r>
                <w:proofErr w:type="gramStart"/>
                <w:r w:rsidR="00372477" w:rsidRPr="00BE229B">
                  <w:rPr>
                    <w:rFonts w:ascii="Verdana" w:eastAsia="Times New Roman" w:hAnsi="Verdana" w:cs="Times New Roman"/>
                    <w:color w:val="333333"/>
                    <w:sz w:val="24"/>
                    <w:szCs w:val="24"/>
                    <w:highlight w:val="green"/>
                  </w:rPr>
                  <w:t>in order to</w:t>
                </w:r>
                <w:proofErr w:type="gramEnd"/>
                <w:r w:rsidR="00372477" w:rsidRPr="00BE229B">
                  <w:rPr>
                    <w:rFonts w:ascii="Verdana" w:eastAsia="Times New Roman" w:hAnsi="Verdana" w:cs="Times New Roman"/>
                    <w:color w:val="333333"/>
                    <w:sz w:val="24"/>
                    <w:szCs w:val="24"/>
                    <w:highlight w:val="green"/>
                  </w:rPr>
                  <w:t xml:space="preserve"> declare a newly established major</w:t>
                </w:r>
                <w:r w:rsidR="001B33D8">
                  <w:rPr>
                    <w:rFonts w:ascii="Verdana" w:eastAsia="Times New Roman" w:hAnsi="Verdana" w:cs="Times New Roman"/>
                    <w:color w:val="333333"/>
                    <w:sz w:val="24"/>
                    <w:szCs w:val="24"/>
                    <w:highlight w:val="green"/>
                  </w:rPr>
                  <w:t>/</w:t>
                </w:r>
                <w:r w:rsidR="00372477" w:rsidRPr="00BE229B">
                  <w:rPr>
                    <w:rFonts w:ascii="Verdana" w:eastAsia="Times New Roman" w:hAnsi="Verdana" w:cs="Times New Roman"/>
                    <w:color w:val="333333"/>
                    <w:sz w:val="24"/>
                    <w:szCs w:val="24"/>
                    <w:highlight w:val="green"/>
                  </w:rPr>
                  <w:t>minor</w:t>
                </w:r>
                <w:r w:rsidR="001B33D8">
                  <w:rPr>
                    <w:rFonts w:ascii="Verdana" w:eastAsia="Times New Roman" w:hAnsi="Verdana" w:cs="Times New Roman"/>
                    <w:color w:val="333333"/>
                    <w:sz w:val="24"/>
                    <w:szCs w:val="24"/>
                    <w:highlight w:val="green"/>
                  </w:rPr>
                  <w:t>/certificate</w:t>
                </w:r>
                <w:r w:rsidR="00372477" w:rsidRPr="00BE229B">
                  <w:rPr>
                    <w:rFonts w:ascii="Verdana" w:eastAsia="Times New Roman" w:hAnsi="Verdana" w:cs="Times New Roman"/>
                    <w:color w:val="333333"/>
                    <w:sz w:val="24"/>
                    <w:szCs w:val="24"/>
                    <w:highlight w:val="green"/>
                  </w:rPr>
                  <w:t xml:space="preserve"> that wasn’t available during the term of admission</w:t>
                </w:r>
                <w:r w:rsidR="003558DA">
                  <w:rPr>
                    <w:rFonts w:ascii="Verdana" w:eastAsia="Times New Roman" w:hAnsi="Verdana" w:cs="Times New Roman"/>
                    <w:color w:val="333333"/>
                    <w:sz w:val="24"/>
                    <w:szCs w:val="24"/>
                    <w:highlight w:val="green"/>
                  </w:rPr>
                  <w:t xml:space="preserve"> or readmission</w:t>
                </w:r>
                <w:r w:rsidR="00372477" w:rsidRPr="00BE229B">
                  <w:rPr>
                    <w:rFonts w:ascii="Verdana" w:eastAsia="Times New Roman" w:hAnsi="Verdana" w:cs="Times New Roman"/>
                    <w:color w:val="333333"/>
                    <w:sz w:val="24"/>
                    <w:szCs w:val="24"/>
                    <w:highlight w:val="green"/>
                  </w:rPr>
                  <w:t xml:space="preserve">. </w:t>
                </w:r>
              </w:p>
              <w:p w14:paraId="6131C3A6" w14:textId="562A81B8" w:rsidR="003A7454" w:rsidRPr="00BE229B" w:rsidRDefault="002A691D" w:rsidP="001275F7">
                <w:pPr>
                  <w:pStyle w:val="ListParagraph"/>
                  <w:numPr>
                    <w:ilvl w:val="1"/>
                    <w:numId w:val="9"/>
                  </w:numPr>
                  <w:spacing w:line="240" w:lineRule="auto"/>
                  <w:rPr>
                    <w:rFonts w:ascii="Verdana" w:eastAsia="Times New Roman" w:hAnsi="Verdana" w:cs="Times New Roman"/>
                    <w:color w:val="333333"/>
                    <w:sz w:val="24"/>
                    <w:szCs w:val="24"/>
                    <w:highlight w:val="green"/>
                  </w:rPr>
                </w:pPr>
                <w:r w:rsidRPr="00BE229B">
                  <w:rPr>
                    <w:rFonts w:ascii="Verdana" w:eastAsia="Times New Roman" w:hAnsi="Verdana" w:cs="Times New Roman"/>
                    <w:color w:val="333333"/>
                    <w:sz w:val="24"/>
                    <w:szCs w:val="24"/>
                    <w:highlight w:val="green"/>
                  </w:rPr>
                  <w:t>In these cases, the student keep</w:t>
                </w:r>
                <w:r w:rsidR="00314DDA">
                  <w:rPr>
                    <w:rFonts w:ascii="Verdana" w:eastAsia="Times New Roman" w:hAnsi="Verdana" w:cs="Times New Roman"/>
                    <w:color w:val="333333"/>
                    <w:sz w:val="24"/>
                    <w:szCs w:val="24"/>
                    <w:highlight w:val="green"/>
                  </w:rPr>
                  <w:t>s</w:t>
                </w:r>
                <w:r w:rsidRPr="00BE229B">
                  <w:rPr>
                    <w:rFonts w:ascii="Verdana" w:eastAsia="Times New Roman" w:hAnsi="Verdana" w:cs="Times New Roman"/>
                    <w:color w:val="333333"/>
                    <w:sz w:val="24"/>
                    <w:szCs w:val="24"/>
                    <w:highlight w:val="green"/>
                  </w:rPr>
                  <w:t xml:space="preserve"> the General Education requirements and general academic progress policies from their term of </w:t>
                </w:r>
                <w:r w:rsidRPr="00BE229B">
                  <w:rPr>
                    <w:rFonts w:ascii="Verdana" w:eastAsia="Times New Roman" w:hAnsi="Verdana" w:cs="Times New Roman"/>
                    <w:color w:val="333333"/>
                    <w:sz w:val="24"/>
                    <w:szCs w:val="24"/>
                    <w:highlight w:val="green"/>
                  </w:rPr>
                  <w:lastRenderedPageBreak/>
                  <w:t>admission</w:t>
                </w:r>
                <w:r w:rsidR="00FE6900">
                  <w:rPr>
                    <w:rFonts w:ascii="Verdana" w:eastAsia="Times New Roman" w:hAnsi="Verdana" w:cs="Times New Roman"/>
                    <w:color w:val="333333"/>
                    <w:sz w:val="24"/>
                    <w:szCs w:val="24"/>
                    <w:highlight w:val="green"/>
                  </w:rPr>
                  <w:t xml:space="preserve"> or readmission</w:t>
                </w:r>
                <w:r w:rsidR="0086666A" w:rsidRPr="00BE229B">
                  <w:rPr>
                    <w:rFonts w:ascii="Verdana" w:eastAsia="Times New Roman" w:hAnsi="Verdana" w:cs="Times New Roman"/>
                    <w:color w:val="333333"/>
                    <w:sz w:val="24"/>
                    <w:szCs w:val="24"/>
                    <w:highlight w:val="green"/>
                  </w:rPr>
                  <w:t>. Only the new major</w:t>
                </w:r>
                <w:r w:rsidR="00D91967">
                  <w:rPr>
                    <w:rFonts w:ascii="Verdana" w:eastAsia="Times New Roman" w:hAnsi="Verdana" w:cs="Times New Roman"/>
                    <w:color w:val="333333"/>
                    <w:sz w:val="24"/>
                    <w:szCs w:val="24"/>
                    <w:highlight w:val="green"/>
                  </w:rPr>
                  <w:t>/</w:t>
                </w:r>
                <w:r w:rsidR="0086666A" w:rsidRPr="00BE229B">
                  <w:rPr>
                    <w:rFonts w:ascii="Verdana" w:eastAsia="Times New Roman" w:hAnsi="Verdana" w:cs="Times New Roman"/>
                    <w:color w:val="333333"/>
                    <w:sz w:val="24"/>
                    <w:szCs w:val="24"/>
                    <w:highlight w:val="green"/>
                  </w:rPr>
                  <w:t>minor</w:t>
                </w:r>
                <w:r w:rsidR="00D91967">
                  <w:rPr>
                    <w:rFonts w:ascii="Verdana" w:eastAsia="Times New Roman" w:hAnsi="Verdana" w:cs="Times New Roman"/>
                    <w:color w:val="333333"/>
                    <w:sz w:val="24"/>
                    <w:szCs w:val="24"/>
                    <w:highlight w:val="green"/>
                  </w:rPr>
                  <w:t>/certificate</w:t>
                </w:r>
                <w:r w:rsidR="00EF4592" w:rsidRPr="00BE229B">
                  <w:rPr>
                    <w:rFonts w:ascii="Verdana" w:eastAsia="Times New Roman" w:hAnsi="Verdana" w:cs="Times New Roman"/>
                    <w:color w:val="333333"/>
                    <w:sz w:val="24"/>
                    <w:szCs w:val="24"/>
                    <w:highlight w:val="green"/>
                  </w:rPr>
                  <w:t xml:space="preserve"> requirements, associated pre-professional requirements, and related policies</w:t>
                </w:r>
                <w:r w:rsidR="005F4AEC" w:rsidRPr="00BE229B">
                  <w:rPr>
                    <w:rFonts w:ascii="Verdana" w:eastAsia="Times New Roman" w:hAnsi="Verdana" w:cs="Times New Roman"/>
                    <w:color w:val="333333"/>
                    <w:sz w:val="24"/>
                    <w:szCs w:val="24"/>
                    <w:highlight w:val="green"/>
                  </w:rPr>
                  <w:t xml:space="preserve"> will follow the </w:t>
                </w:r>
                <w:r w:rsidR="005D1AB5">
                  <w:rPr>
                    <w:rFonts w:ascii="Verdana" w:eastAsia="Times New Roman" w:hAnsi="Verdana" w:cs="Times New Roman"/>
                    <w:color w:val="333333"/>
                    <w:sz w:val="24"/>
                    <w:szCs w:val="24"/>
                    <w:highlight w:val="green"/>
                  </w:rPr>
                  <w:t>newer</w:t>
                </w:r>
                <w:r w:rsidR="005F4AEC" w:rsidRPr="00BE229B">
                  <w:rPr>
                    <w:rFonts w:ascii="Verdana" w:eastAsia="Times New Roman" w:hAnsi="Verdana" w:cs="Times New Roman"/>
                    <w:color w:val="333333"/>
                    <w:sz w:val="24"/>
                    <w:szCs w:val="24"/>
                    <w:highlight w:val="green"/>
                  </w:rPr>
                  <w:t xml:space="preserve"> Catalog.</w:t>
                </w:r>
              </w:p>
              <w:p w14:paraId="710C5F0E" w14:textId="13EB79C2" w:rsidR="005F4AEC" w:rsidRPr="00BE1C40" w:rsidRDefault="005F4AEC" w:rsidP="003A7454">
                <w:pPr>
                  <w:pStyle w:val="ListParagraph"/>
                  <w:numPr>
                    <w:ilvl w:val="0"/>
                    <w:numId w:val="9"/>
                  </w:numPr>
                  <w:spacing w:line="240" w:lineRule="auto"/>
                  <w:rPr>
                    <w:rFonts w:ascii="Verdana" w:eastAsia="Times New Roman" w:hAnsi="Verdana" w:cs="Times New Roman"/>
                    <w:color w:val="333333"/>
                    <w:sz w:val="24"/>
                    <w:szCs w:val="24"/>
                  </w:rPr>
                </w:pPr>
                <w:r w:rsidRPr="00BE1C40">
                  <w:rPr>
                    <w:rFonts w:ascii="Verdana" w:eastAsia="Times New Roman" w:hAnsi="Verdana" w:cs="Times New Roman"/>
                    <w:color w:val="333333"/>
                    <w:sz w:val="24"/>
                    <w:szCs w:val="24"/>
                  </w:rPr>
                  <w:t xml:space="preserve">Students may choose to follow </w:t>
                </w:r>
                <w:proofErr w:type="gramStart"/>
                <w:r w:rsidRPr="00A70AA4">
                  <w:rPr>
                    <w:rFonts w:ascii="Verdana" w:eastAsia="Times New Roman" w:hAnsi="Verdana" w:cs="Times New Roman"/>
                    <w:b/>
                    <w:bCs/>
                    <w:color w:val="333333"/>
                    <w:sz w:val="24"/>
                    <w:szCs w:val="24"/>
                  </w:rPr>
                  <w:t>all of</w:t>
                </w:r>
                <w:proofErr w:type="gramEnd"/>
                <w:r w:rsidRPr="00A70AA4">
                  <w:rPr>
                    <w:rFonts w:ascii="Verdana" w:eastAsia="Times New Roman" w:hAnsi="Verdana" w:cs="Times New Roman"/>
                    <w:b/>
                    <w:bCs/>
                    <w:color w:val="333333"/>
                    <w:sz w:val="24"/>
                    <w:szCs w:val="24"/>
                  </w:rPr>
                  <w:t xml:space="preserve"> the</w:t>
                </w:r>
                <w:r w:rsidR="002F351F" w:rsidRPr="00A70AA4">
                  <w:rPr>
                    <w:rFonts w:ascii="Verdana" w:eastAsia="Times New Roman" w:hAnsi="Verdana" w:cs="Times New Roman"/>
                    <w:b/>
                    <w:bCs/>
                    <w:color w:val="333333"/>
                    <w:sz w:val="24"/>
                    <w:szCs w:val="24"/>
                  </w:rPr>
                  <w:t xml:space="preserve"> </w:t>
                </w:r>
                <w:r w:rsidR="002F351F" w:rsidRPr="00A70AA4">
                  <w:rPr>
                    <w:rFonts w:ascii="Verdana" w:eastAsia="Times New Roman" w:hAnsi="Verdana" w:cs="Times New Roman"/>
                    <w:b/>
                    <w:bCs/>
                    <w:color w:val="333333"/>
                    <w:sz w:val="24"/>
                    <w:szCs w:val="24"/>
                    <w:highlight w:val="green"/>
                  </w:rPr>
                  <w:t xml:space="preserve">General Education, </w:t>
                </w:r>
                <w:r w:rsidR="000A17F8" w:rsidRPr="00A70AA4">
                  <w:rPr>
                    <w:rFonts w:ascii="Verdana" w:eastAsia="Times New Roman" w:hAnsi="Verdana" w:cs="Times New Roman"/>
                    <w:b/>
                    <w:bCs/>
                    <w:color w:val="333333"/>
                    <w:sz w:val="24"/>
                    <w:szCs w:val="24"/>
                    <w:highlight w:val="green"/>
                  </w:rPr>
                  <w:t>major/minor/certificate,</w:t>
                </w:r>
                <w:r w:rsidR="000A17F8" w:rsidRPr="00A70AA4">
                  <w:rPr>
                    <w:rFonts w:ascii="Verdana" w:eastAsia="Times New Roman" w:hAnsi="Verdana" w:cs="Times New Roman"/>
                    <w:b/>
                    <w:bCs/>
                    <w:color w:val="333333"/>
                    <w:sz w:val="24"/>
                    <w:szCs w:val="24"/>
                  </w:rPr>
                  <w:t xml:space="preserve"> </w:t>
                </w:r>
                <w:r w:rsidRPr="00A70AA4">
                  <w:rPr>
                    <w:rFonts w:ascii="Verdana" w:eastAsia="Times New Roman" w:hAnsi="Verdana" w:cs="Times New Roman"/>
                    <w:b/>
                    <w:bCs/>
                    <w:color w:val="333333"/>
                    <w:sz w:val="24"/>
                    <w:szCs w:val="24"/>
                  </w:rPr>
                  <w:t>and policy requirements</w:t>
                </w:r>
                <w:r w:rsidRPr="00BE1C40">
                  <w:rPr>
                    <w:rFonts w:ascii="Verdana" w:eastAsia="Times New Roman" w:hAnsi="Verdana" w:cs="Times New Roman"/>
                    <w:color w:val="333333"/>
                    <w:sz w:val="24"/>
                    <w:szCs w:val="24"/>
                  </w:rPr>
                  <w:t xml:space="preserve"> outlined by any single Catalog</w:t>
                </w:r>
                <w:r w:rsidR="00C70DA8" w:rsidRPr="00BE1C40">
                  <w:rPr>
                    <w:rFonts w:ascii="Verdana" w:eastAsia="Times New Roman" w:hAnsi="Verdana" w:cs="Times New Roman"/>
                    <w:color w:val="333333"/>
                    <w:sz w:val="24"/>
                    <w:szCs w:val="24"/>
                  </w:rPr>
                  <w:t xml:space="preserve"> in effect during </w:t>
                </w:r>
                <w:r w:rsidR="005D1AB5" w:rsidRPr="005D1AB5">
                  <w:rPr>
                    <w:rFonts w:ascii="Verdana" w:eastAsia="Times New Roman" w:hAnsi="Verdana" w:cs="Times New Roman"/>
                    <w:color w:val="333333"/>
                    <w:sz w:val="24"/>
                    <w:szCs w:val="24"/>
                    <w:highlight w:val="green"/>
                  </w:rPr>
                  <w:t>a later</w:t>
                </w:r>
                <w:r w:rsidR="00C70DA8" w:rsidRPr="00BE1C40">
                  <w:rPr>
                    <w:rFonts w:ascii="Verdana" w:eastAsia="Times New Roman" w:hAnsi="Verdana" w:cs="Times New Roman"/>
                    <w:color w:val="333333"/>
                    <w:sz w:val="24"/>
                    <w:szCs w:val="24"/>
                  </w:rPr>
                  <w:t xml:space="preserve"> term of continuous enrollment. </w:t>
                </w:r>
              </w:p>
              <w:p w14:paraId="4D038D6F" w14:textId="39B173F1" w:rsidR="00C73332" w:rsidRPr="00D85FDE" w:rsidRDefault="00D85FDE" w:rsidP="00974648">
                <w:pPr>
                  <w:pStyle w:val="NormalWeb"/>
                  <w:shd w:val="clear" w:color="auto" w:fill="FFFFFF"/>
                  <w:spacing w:before="0" w:beforeAutospacing="0" w:after="180" w:afterAutospacing="0"/>
                  <w:rPr>
                    <w:rFonts w:ascii="Verdana" w:hAnsi="Verdana"/>
                    <w:color w:val="333333"/>
                  </w:rPr>
                </w:pPr>
                <w:r>
                  <w:rPr>
                    <w:rFonts w:ascii="Verdana" w:hAnsi="Verdana"/>
                    <w:color w:val="333333"/>
                  </w:rPr>
                  <w:t>Each student is responsible for knowing and abiding by the policies described in the</w:t>
                </w:r>
                <w:r w:rsidR="0013520B">
                  <w:rPr>
                    <w:rFonts w:ascii="Verdana" w:hAnsi="Verdana"/>
                    <w:color w:val="333333"/>
                  </w:rPr>
                  <w:t>ir chosen</w:t>
                </w:r>
                <w:r>
                  <w:rPr>
                    <w:rFonts w:ascii="Verdana" w:hAnsi="Verdana"/>
                    <w:color w:val="333333"/>
                  </w:rPr>
                  <w:t xml:space="preserve"> Catalog. See </w:t>
                </w:r>
                <w:hyperlink r:id="rId15" w:history="1">
                  <w:r>
                    <w:rPr>
                      <w:rStyle w:val="Hyperlink"/>
                      <w:rFonts w:ascii="Verdana" w:hAnsi="Verdana"/>
                      <w:b/>
                      <w:bCs/>
                      <w:color w:val="8F1124"/>
                    </w:rPr>
                    <w:t>Policies</w:t>
                  </w:r>
                </w:hyperlink>
                <w:r>
                  <w:rPr>
                    <w:rFonts w:ascii="Verdana" w:hAnsi="Verdana"/>
                    <w:color w:val="333333"/>
                  </w:rPr>
                  <w:t>.</w:t>
                </w:r>
              </w:p>
            </w:tc>
          </w:sdtContent>
        </w:sdt>
      </w:tr>
    </w:tbl>
    <w:p w14:paraId="05394A3F" w14:textId="77777777" w:rsidR="006E6D55" w:rsidRDefault="006E6D55"/>
    <w:sectPr w:rsidR="006E6D55" w:rsidSect="006E6D55">
      <w:footerReference w:type="default" r:id="rId16"/>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A28C7" w14:textId="77777777" w:rsidR="000F4173" w:rsidRDefault="000F4173" w:rsidP="006E6D55">
      <w:pPr>
        <w:spacing w:before="0" w:after="0" w:line="240" w:lineRule="auto"/>
      </w:pPr>
      <w:r>
        <w:separator/>
      </w:r>
    </w:p>
  </w:endnote>
  <w:endnote w:type="continuationSeparator" w:id="0">
    <w:p w14:paraId="2FFF0F51" w14:textId="77777777" w:rsidR="000F4173" w:rsidRDefault="000F4173" w:rsidP="006E6D55">
      <w:pPr>
        <w:spacing w:before="0" w:after="0" w:line="240" w:lineRule="auto"/>
      </w:pPr>
      <w:r>
        <w:continuationSeparator/>
      </w:r>
    </w:p>
  </w:endnote>
  <w:endnote w:type="continuationNotice" w:id="1">
    <w:p w14:paraId="576AAE3C" w14:textId="77777777" w:rsidR="000F4173" w:rsidRDefault="000F4173">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E81FA" w14:textId="33C8869F" w:rsidR="006E6D55" w:rsidRPr="006E6D55" w:rsidRDefault="006E6D55" w:rsidP="006E6D55">
    <w:pPr>
      <w:pStyle w:val="Footer"/>
      <w:jc w:val="right"/>
      <w:rPr>
        <w:i/>
        <w:iCs/>
        <w:sz w:val="18"/>
        <w:szCs w:val="18"/>
      </w:rPr>
    </w:pPr>
    <w:r w:rsidRPr="006E6D55">
      <w:rPr>
        <w:i/>
        <w:iCs/>
        <w:sz w:val="18"/>
        <w:szCs w:val="18"/>
      </w:rPr>
      <w:t>Last updated: 8/31/2020 7:39 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C107B" w14:textId="77777777" w:rsidR="000F4173" w:rsidRDefault="000F4173" w:rsidP="006E6D55">
      <w:pPr>
        <w:spacing w:before="0" w:after="0" w:line="240" w:lineRule="auto"/>
      </w:pPr>
      <w:r>
        <w:separator/>
      </w:r>
    </w:p>
  </w:footnote>
  <w:footnote w:type="continuationSeparator" w:id="0">
    <w:p w14:paraId="6763B414" w14:textId="77777777" w:rsidR="000F4173" w:rsidRDefault="000F4173" w:rsidP="006E6D55">
      <w:pPr>
        <w:spacing w:before="0" w:after="0" w:line="240" w:lineRule="auto"/>
      </w:pPr>
      <w:r>
        <w:continuationSeparator/>
      </w:r>
    </w:p>
  </w:footnote>
  <w:footnote w:type="continuationNotice" w:id="1">
    <w:p w14:paraId="5F68C427" w14:textId="77777777" w:rsidR="000F4173" w:rsidRDefault="000F4173">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237F1A"/>
    <w:multiLevelType w:val="multilevel"/>
    <w:tmpl w:val="DA1E2E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52B0E97"/>
    <w:multiLevelType w:val="hybridMultilevel"/>
    <w:tmpl w:val="D96C8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6B41B2"/>
    <w:multiLevelType w:val="multilevel"/>
    <w:tmpl w:val="130878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5814E08"/>
    <w:multiLevelType w:val="multilevel"/>
    <w:tmpl w:val="AC641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B85F48"/>
    <w:multiLevelType w:val="multilevel"/>
    <w:tmpl w:val="177E8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2A1CC4"/>
    <w:multiLevelType w:val="hybridMultilevel"/>
    <w:tmpl w:val="979A95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8B00FD"/>
    <w:multiLevelType w:val="multilevel"/>
    <w:tmpl w:val="342A9D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E2B0EC5"/>
    <w:multiLevelType w:val="multilevel"/>
    <w:tmpl w:val="AB2073E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59793FDA"/>
    <w:multiLevelType w:val="hybridMultilevel"/>
    <w:tmpl w:val="B7A608CA"/>
    <w:lvl w:ilvl="0" w:tplc="A5D45A46">
      <w:start w:val="1"/>
      <w:numFmt w:val="bullet"/>
      <w:lvlText w:val=""/>
      <w:lvlJc w:val="left"/>
      <w:pPr>
        <w:ind w:left="720" w:hanging="360"/>
      </w:pPr>
      <w:rPr>
        <w:rFonts w:ascii="Symbol" w:hAnsi="Symbol" w:hint="default"/>
      </w:rPr>
    </w:lvl>
    <w:lvl w:ilvl="1" w:tplc="A75058D6">
      <w:start w:val="1"/>
      <w:numFmt w:val="bullet"/>
      <w:lvlText w:val="o"/>
      <w:lvlJc w:val="left"/>
      <w:pPr>
        <w:ind w:left="1440" w:hanging="360"/>
      </w:pPr>
      <w:rPr>
        <w:rFonts w:ascii="Courier New" w:hAnsi="Courier New" w:hint="default"/>
      </w:rPr>
    </w:lvl>
    <w:lvl w:ilvl="2" w:tplc="6DB2B586">
      <w:start w:val="1"/>
      <w:numFmt w:val="bullet"/>
      <w:lvlText w:val=""/>
      <w:lvlJc w:val="left"/>
      <w:pPr>
        <w:ind w:left="2160" w:hanging="360"/>
      </w:pPr>
      <w:rPr>
        <w:rFonts w:ascii="Wingdings" w:hAnsi="Wingdings" w:hint="default"/>
      </w:rPr>
    </w:lvl>
    <w:lvl w:ilvl="3" w:tplc="4AD89616">
      <w:start w:val="1"/>
      <w:numFmt w:val="bullet"/>
      <w:lvlText w:val=""/>
      <w:lvlJc w:val="left"/>
      <w:pPr>
        <w:ind w:left="2880" w:hanging="360"/>
      </w:pPr>
      <w:rPr>
        <w:rFonts w:ascii="Symbol" w:hAnsi="Symbol" w:hint="default"/>
      </w:rPr>
    </w:lvl>
    <w:lvl w:ilvl="4" w:tplc="3D0EB794">
      <w:start w:val="1"/>
      <w:numFmt w:val="bullet"/>
      <w:lvlText w:val="o"/>
      <w:lvlJc w:val="left"/>
      <w:pPr>
        <w:ind w:left="3600" w:hanging="360"/>
      </w:pPr>
      <w:rPr>
        <w:rFonts w:ascii="Courier New" w:hAnsi="Courier New" w:hint="default"/>
      </w:rPr>
    </w:lvl>
    <w:lvl w:ilvl="5" w:tplc="34D08ECE">
      <w:start w:val="1"/>
      <w:numFmt w:val="bullet"/>
      <w:lvlText w:val=""/>
      <w:lvlJc w:val="left"/>
      <w:pPr>
        <w:ind w:left="4320" w:hanging="360"/>
      </w:pPr>
      <w:rPr>
        <w:rFonts w:ascii="Wingdings" w:hAnsi="Wingdings" w:hint="default"/>
      </w:rPr>
    </w:lvl>
    <w:lvl w:ilvl="6" w:tplc="F15CDA0A">
      <w:start w:val="1"/>
      <w:numFmt w:val="bullet"/>
      <w:lvlText w:val=""/>
      <w:lvlJc w:val="left"/>
      <w:pPr>
        <w:ind w:left="5040" w:hanging="360"/>
      </w:pPr>
      <w:rPr>
        <w:rFonts w:ascii="Symbol" w:hAnsi="Symbol" w:hint="default"/>
      </w:rPr>
    </w:lvl>
    <w:lvl w:ilvl="7" w:tplc="3DD46564">
      <w:start w:val="1"/>
      <w:numFmt w:val="bullet"/>
      <w:lvlText w:val="o"/>
      <w:lvlJc w:val="left"/>
      <w:pPr>
        <w:ind w:left="5760" w:hanging="360"/>
      </w:pPr>
      <w:rPr>
        <w:rFonts w:ascii="Courier New" w:hAnsi="Courier New" w:hint="default"/>
      </w:rPr>
    </w:lvl>
    <w:lvl w:ilvl="8" w:tplc="1752EE6C">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6"/>
  </w:num>
  <w:num w:numId="4">
    <w:abstractNumId w:val="7"/>
  </w:num>
  <w:num w:numId="5">
    <w:abstractNumId w:val="2"/>
  </w:num>
  <w:num w:numId="6">
    <w:abstractNumId w:val="4"/>
  </w:num>
  <w:num w:numId="7">
    <w:abstractNumId w:val="3"/>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LCwMDA0Nzc3sDQCkko6SsGpxcWZ+XkgBYa1AFqmh4osAAAA"/>
  </w:docVars>
  <w:rsids>
    <w:rsidRoot w:val="006E6D55"/>
    <w:rsid w:val="00011831"/>
    <w:rsid w:val="00030D63"/>
    <w:rsid w:val="00040014"/>
    <w:rsid w:val="00065813"/>
    <w:rsid w:val="00086704"/>
    <w:rsid w:val="000931EA"/>
    <w:rsid w:val="000A17F8"/>
    <w:rsid w:val="000E2103"/>
    <w:rsid w:val="000F4173"/>
    <w:rsid w:val="00100586"/>
    <w:rsid w:val="0011362A"/>
    <w:rsid w:val="001275F7"/>
    <w:rsid w:val="0013520B"/>
    <w:rsid w:val="001B33D8"/>
    <w:rsid w:val="001D21C4"/>
    <w:rsid w:val="00214200"/>
    <w:rsid w:val="002143BE"/>
    <w:rsid w:val="002254EA"/>
    <w:rsid w:val="00225A15"/>
    <w:rsid w:val="00246243"/>
    <w:rsid w:val="00257E03"/>
    <w:rsid w:val="00267B8E"/>
    <w:rsid w:val="002770F8"/>
    <w:rsid w:val="002971FE"/>
    <w:rsid w:val="002A691D"/>
    <w:rsid w:val="002F0BB9"/>
    <w:rsid w:val="002F351F"/>
    <w:rsid w:val="00314DDA"/>
    <w:rsid w:val="003202EB"/>
    <w:rsid w:val="0032677C"/>
    <w:rsid w:val="003558DA"/>
    <w:rsid w:val="00372477"/>
    <w:rsid w:val="003A7454"/>
    <w:rsid w:val="003C2713"/>
    <w:rsid w:val="003C4F14"/>
    <w:rsid w:val="003C72F6"/>
    <w:rsid w:val="003F1302"/>
    <w:rsid w:val="003F3414"/>
    <w:rsid w:val="00451983"/>
    <w:rsid w:val="004577E7"/>
    <w:rsid w:val="00464407"/>
    <w:rsid w:val="004C2A40"/>
    <w:rsid w:val="004D2518"/>
    <w:rsid w:val="004F70EC"/>
    <w:rsid w:val="00512948"/>
    <w:rsid w:val="0053DD59"/>
    <w:rsid w:val="00573FEA"/>
    <w:rsid w:val="005977B6"/>
    <w:rsid w:val="005D1AB5"/>
    <w:rsid w:val="005E5338"/>
    <w:rsid w:val="005F4AEC"/>
    <w:rsid w:val="00600DB7"/>
    <w:rsid w:val="0060787B"/>
    <w:rsid w:val="006641F2"/>
    <w:rsid w:val="006920ED"/>
    <w:rsid w:val="006C7D8C"/>
    <w:rsid w:val="006E6D55"/>
    <w:rsid w:val="00707C4F"/>
    <w:rsid w:val="00711E91"/>
    <w:rsid w:val="00741433"/>
    <w:rsid w:val="00746EA4"/>
    <w:rsid w:val="007521B2"/>
    <w:rsid w:val="007946FA"/>
    <w:rsid w:val="007959A1"/>
    <w:rsid w:val="007C0EC1"/>
    <w:rsid w:val="007C7461"/>
    <w:rsid w:val="007E6B4F"/>
    <w:rsid w:val="00803E65"/>
    <w:rsid w:val="008243CC"/>
    <w:rsid w:val="00826200"/>
    <w:rsid w:val="0084770E"/>
    <w:rsid w:val="0086666A"/>
    <w:rsid w:val="008C155B"/>
    <w:rsid w:val="00914516"/>
    <w:rsid w:val="00951579"/>
    <w:rsid w:val="00952EF4"/>
    <w:rsid w:val="00974648"/>
    <w:rsid w:val="00A06FBC"/>
    <w:rsid w:val="00A475DE"/>
    <w:rsid w:val="00A70AA4"/>
    <w:rsid w:val="00A8033B"/>
    <w:rsid w:val="00AD3DF1"/>
    <w:rsid w:val="00AD63C4"/>
    <w:rsid w:val="00B01F79"/>
    <w:rsid w:val="00B13882"/>
    <w:rsid w:val="00B3585D"/>
    <w:rsid w:val="00B36954"/>
    <w:rsid w:val="00B47B12"/>
    <w:rsid w:val="00B50970"/>
    <w:rsid w:val="00B54289"/>
    <w:rsid w:val="00B819DC"/>
    <w:rsid w:val="00BC5ABA"/>
    <w:rsid w:val="00BE1C40"/>
    <w:rsid w:val="00BE229B"/>
    <w:rsid w:val="00C4181A"/>
    <w:rsid w:val="00C611B8"/>
    <w:rsid w:val="00C66BF7"/>
    <w:rsid w:val="00C70DA8"/>
    <w:rsid w:val="00C73332"/>
    <w:rsid w:val="00C74F30"/>
    <w:rsid w:val="00C90609"/>
    <w:rsid w:val="00C941F7"/>
    <w:rsid w:val="00CD7470"/>
    <w:rsid w:val="00D113F3"/>
    <w:rsid w:val="00D15C07"/>
    <w:rsid w:val="00D366CA"/>
    <w:rsid w:val="00D85FDE"/>
    <w:rsid w:val="00D91967"/>
    <w:rsid w:val="00DA3F26"/>
    <w:rsid w:val="00DB0361"/>
    <w:rsid w:val="00E4337E"/>
    <w:rsid w:val="00E54068"/>
    <w:rsid w:val="00E840B8"/>
    <w:rsid w:val="00EF4592"/>
    <w:rsid w:val="00F372C0"/>
    <w:rsid w:val="00F45AB9"/>
    <w:rsid w:val="00F65091"/>
    <w:rsid w:val="00F87E3F"/>
    <w:rsid w:val="00FA0CFA"/>
    <w:rsid w:val="00FB08B0"/>
    <w:rsid w:val="00FC3C3A"/>
    <w:rsid w:val="00FE6900"/>
    <w:rsid w:val="00FF2809"/>
    <w:rsid w:val="027D03C9"/>
    <w:rsid w:val="0994C1B7"/>
    <w:rsid w:val="0A96BDD2"/>
    <w:rsid w:val="0C6F7D10"/>
    <w:rsid w:val="1018049F"/>
    <w:rsid w:val="1083831A"/>
    <w:rsid w:val="14D9E483"/>
    <w:rsid w:val="15E012AC"/>
    <w:rsid w:val="18D4366F"/>
    <w:rsid w:val="1942FF19"/>
    <w:rsid w:val="1CEA73C9"/>
    <w:rsid w:val="1EB0FF57"/>
    <w:rsid w:val="1F1DD207"/>
    <w:rsid w:val="370CCF34"/>
    <w:rsid w:val="3EC3C465"/>
    <w:rsid w:val="406F5F98"/>
    <w:rsid w:val="46BFAFB6"/>
    <w:rsid w:val="473878D2"/>
    <w:rsid w:val="4A639817"/>
    <w:rsid w:val="4BA2FF81"/>
    <w:rsid w:val="5938F18D"/>
    <w:rsid w:val="5F8F0AB4"/>
    <w:rsid w:val="6ABA1CAC"/>
    <w:rsid w:val="6F299657"/>
    <w:rsid w:val="72E4BCC6"/>
    <w:rsid w:val="7AA3D899"/>
    <w:rsid w:val="7C501EF9"/>
    <w:rsid w:val="7C727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79307"/>
  <w15:chartTrackingRefBased/>
  <w15:docId w15:val="{AA9DD764-ADE9-4308-9BB3-08F6D64AB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D55"/>
    <w:pPr>
      <w:spacing w:before="100" w:after="200" w:line="276" w:lineRule="auto"/>
    </w:pPr>
    <w:rPr>
      <w:sz w:val="20"/>
      <w:szCs w:val="20"/>
    </w:rPr>
  </w:style>
  <w:style w:type="paragraph" w:styleId="Heading1">
    <w:name w:val="heading 1"/>
    <w:basedOn w:val="Normal"/>
    <w:link w:val="Heading1Char"/>
    <w:uiPriority w:val="9"/>
    <w:qFormat/>
    <w:rsid w:val="006E6D55"/>
    <w:pPr>
      <w:spacing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6E6D55"/>
    <w:pPr>
      <w:keepNext/>
      <w:keepLines/>
      <w:spacing w:before="40" w:after="0"/>
      <w:outlineLvl w:val="1"/>
    </w:pPr>
    <w:rPr>
      <w:rFonts w:asciiTheme="majorHAnsi" w:eastAsiaTheme="majorEastAsia" w:hAnsiTheme="majorHAnsi" w:cstheme="majorBidi"/>
      <w:color w:val="7F0317"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54020F"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7F0317"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6D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6D55"/>
    <w:rPr>
      <w:rFonts w:ascii="Segoe UI" w:hAnsi="Segoe UI" w:cs="Segoe UI"/>
      <w:sz w:val="18"/>
      <w:szCs w:val="18"/>
    </w:rPr>
  </w:style>
  <w:style w:type="table" w:styleId="TableGrid">
    <w:name w:val="Table Grid"/>
    <w:basedOn w:val="TableNormal"/>
    <w:uiPriority w:val="39"/>
    <w:rsid w:val="006E6D55"/>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E6D55"/>
    <w:rPr>
      <w:color w:val="0000FF"/>
      <w:u w:val="single"/>
    </w:rPr>
  </w:style>
  <w:style w:type="paragraph" w:styleId="Header">
    <w:name w:val="header"/>
    <w:basedOn w:val="Normal"/>
    <w:link w:val="HeaderChar"/>
    <w:uiPriority w:val="99"/>
    <w:unhideWhenUsed/>
    <w:rsid w:val="006E6D55"/>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6E6D55"/>
    <w:rPr>
      <w:sz w:val="20"/>
      <w:szCs w:val="20"/>
    </w:rPr>
  </w:style>
  <w:style w:type="paragraph" w:styleId="Footer">
    <w:name w:val="footer"/>
    <w:basedOn w:val="Normal"/>
    <w:link w:val="FooterChar"/>
    <w:uiPriority w:val="99"/>
    <w:unhideWhenUsed/>
    <w:rsid w:val="006E6D5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6E6D55"/>
    <w:rPr>
      <w:sz w:val="20"/>
      <w:szCs w:val="20"/>
    </w:rPr>
  </w:style>
  <w:style w:type="character" w:customStyle="1" w:styleId="Heading1Char">
    <w:name w:val="Heading 1 Char"/>
    <w:basedOn w:val="DefaultParagraphFont"/>
    <w:link w:val="Heading1"/>
    <w:uiPriority w:val="9"/>
    <w:rsid w:val="006E6D55"/>
    <w:rPr>
      <w:rFonts w:ascii="Times New Roman" w:eastAsia="Times New Roman" w:hAnsi="Times New Roman" w:cs="Times New Roman"/>
      <w:b/>
      <w:bCs/>
      <w:kern w:val="36"/>
      <w:sz w:val="48"/>
      <w:szCs w:val="48"/>
    </w:rPr>
  </w:style>
  <w:style w:type="character" w:customStyle="1" w:styleId="UnresolvedMention1">
    <w:name w:val="Unresolved Mention1"/>
    <w:basedOn w:val="DefaultParagraphFont"/>
    <w:uiPriority w:val="99"/>
    <w:semiHidden/>
    <w:unhideWhenUsed/>
    <w:rsid w:val="006E6D55"/>
    <w:rPr>
      <w:color w:val="605E5C"/>
      <w:shd w:val="clear" w:color="auto" w:fill="E1DFDD"/>
    </w:rPr>
  </w:style>
  <w:style w:type="character" w:customStyle="1" w:styleId="Heading2Char">
    <w:name w:val="Heading 2 Char"/>
    <w:basedOn w:val="DefaultParagraphFont"/>
    <w:link w:val="Heading2"/>
    <w:uiPriority w:val="9"/>
    <w:rsid w:val="006E6D55"/>
    <w:rPr>
      <w:rFonts w:asciiTheme="majorHAnsi" w:eastAsiaTheme="majorEastAsia" w:hAnsiTheme="majorHAnsi" w:cstheme="majorBidi"/>
      <w:color w:val="7F0317" w:themeColor="accent1" w:themeShade="BF"/>
      <w:sz w:val="26"/>
      <w:szCs w:val="26"/>
    </w:rPr>
  </w:style>
  <w:style w:type="paragraph" w:styleId="NormalWeb">
    <w:name w:val="Normal (Web)"/>
    <w:basedOn w:val="Normal"/>
    <w:uiPriority w:val="99"/>
    <w:unhideWhenUsed/>
    <w:rsid w:val="006E6D55"/>
    <w:pPr>
      <w:spacing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E6D55"/>
    <w:rPr>
      <w:b/>
      <w:bCs/>
    </w:rPr>
  </w:style>
  <w:style w:type="character" w:styleId="Emphasis">
    <w:name w:val="Emphasis"/>
    <w:basedOn w:val="DefaultParagraphFont"/>
    <w:uiPriority w:val="20"/>
    <w:qFormat/>
    <w:rsid w:val="006E6D55"/>
    <w:rPr>
      <w:i/>
      <w:iCs/>
    </w:rPr>
  </w:style>
  <w:style w:type="paragraph" w:styleId="ListParagraph">
    <w:name w:val="List Paragraph"/>
    <w:basedOn w:val="Normal"/>
    <w:uiPriority w:val="34"/>
    <w:qFormat/>
    <w:pPr>
      <w:ind w:left="720"/>
      <w:contextualSpacing/>
    </w:p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7F0317" w:themeColor="accent1" w:themeShade="BF"/>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54020F" w:themeColor="accent1" w:themeShade="7F"/>
      <w:sz w:val="24"/>
      <w:szCs w:val="24"/>
    </w:rPr>
  </w:style>
  <w:style w:type="character" w:styleId="UnresolvedMention">
    <w:name w:val="Unresolved Mention"/>
    <w:basedOn w:val="DefaultParagraphFont"/>
    <w:uiPriority w:val="99"/>
    <w:semiHidden/>
    <w:unhideWhenUsed/>
    <w:rsid w:val="00C4181A"/>
    <w:rPr>
      <w:color w:val="605E5C"/>
      <w:shd w:val="clear" w:color="auto" w:fill="E1DFDD"/>
    </w:rPr>
  </w:style>
  <w:style w:type="character" w:customStyle="1" w:styleId="element-invisible">
    <w:name w:val="element-invisible"/>
    <w:basedOn w:val="DefaultParagraphFont"/>
    <w:rsid w:val="00451983"/>
  </w:style>
  <w:style w:type="character" w:styleId="PlaceholderText">
    <w:name w:val="Placeholder Text"/>
    <w:basedOn w:val="DefaultParagraphFont"/>
    <w:uiPriority w:val="99"/>
    <w:semiHidden/>
    <w:rsid w:val="00F372C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16412">
      <w:bodyDiv w:val="1"/>
      <w:marLeft w:val="0"/>
      <w:marRight w:val="0"/>
      <w:marTop w:val="0"/>
      <w:marBottom w:val="0"/>
      <w:divBdr>
        <w:top w:val="none" w:sz="0" w:space="0" w:color="auto"/>
        <w:left w:val="none" w:sz="0" w:space="0" w:color="auto"/>
        <w:bottom w:val="none" w:sz="0" w:space="0" w:color="auto"/>
        <w:right w:val="none" w:sz="0" w:space="0" w:color="auto"/>
      </w:divBdr>
    </w:div>
    <w:div w:id="452676883">
      <w:bodyDiv w:val="1"/>
      <w:marLeft w:val="0"/>
      <w:marRight w:val="0"/>
      <w:marTop w:val="0"/>
      <w:marBottom w:val="0"/>
      <w:divBdr>
        <w:top w:val="none" w:sz="0" w:space="0" w:color="auto"/>
        <w:left w:val="none" w:sz="0" w:space="0" w:color="auto"/>
        <w:bottom w:val="none" w:sz="0" w:space="0" w:color="auto"/>
        <w:right w:val="none" w:sz="0" w:space="0" w:color="auto"/>
      </w:divBdr>
    </w:div>
    <w:div w:id="662780960">
      <w:bodyDiv w:val="1"/>
      <w:marLeft w:val="0"/>
      <w:marRight w:val="0"/>
      <w:marTop w:val="0"/>
      <w:marBottom w:val="0"/>
      <w:divBdr>
        <w:top w:val="none" w:sz="0" w:space="0" w:color="auto"/>
        <w:left w:val="none" w:sz="0" w:space="0" w:color="auto"/>
        <w:bottom w:val="none" w:sz="0" w:space="0" w:color="auto"/>
        <w:right w:val="none" w:sz="0" w:space="0" w:color="auto"/>
      </w:divBdr>
    </w:div>
    <w:div w:id="1219514187">
      <w:bodyDiv w:val="1"/>
      <w:marLeft w:val="0"/>
      <w:marRight w:val="0"/>
      <w:marTop w:val="0"/>
      <w:marBottom w:val="0"/>
      <w:divBdr>
        <w:top w:val="none" w:sz="0" w:space="0" w:color="auto"/>
        <w:left w:val="none" w:sz="0" w:space="0" w:color="auto"/>
        <w:bottom w:val="none" w:sz="0" w:space="0" w:color="auto"/>
        <w:right w:val="none" w:sz="0" w:space="0" w:color="auto"/>
      </w:divBdr>
    </w:div>
    <w:div w:id="1826166601">
      <w:bodyDiv w:val="1"/>
      <w:marLeft w:val="0"/>
      <w:marRight w:val="0"/>
      <w:marTop w:val="0"/>
      <w:marBottom w:val="0"/>
      <w:divBdr>
        <w:top w:val="none" w:sz="0" w:space="0" w:color="auto"/>
        <w:left w:val="none" w:sz="0" w:space="0" w:color="auto"/>
        <w:bottom w:val="none" w:sz="0" w:space="0" w:color="auto"/>
        <w:right w:val="none" w:sz="0" w:space="0" w:color="auto"/>
      </w:divBdr>
    </w:div>
    <w:div w:id="1868371066">
      <w:bodyDiv w:val="1"/>
      <w:marLeft w:val="0"/>
      <w:marRight w:val="0"/>
      <w:marTop w:val="0"/>
      <w:marBottom w:val="0"/>
      <w:divBdr>
        <w:top w:val="none" w:sz="0" w:space="0" w:color="auto"/>
        <w:left w:val="none" w:sz="0" w:space="0" w:color="auto"/>
        <w:bottom w:val="none" w:sz="0" w:space="0" w:color="auto"/>
        <w:right w:val="none" w:sz="0" w:space="0" w:color="auto"/>
      </w:divBdr>
      <w:divsChild>
        <w:div w:id="1774589262">
          <w:marLeft w:val="0"/>
          <w:marRight w:val="0"/>
          <w:marTop w:val="0"/>
          <w:marBottom w:val="0"/>
          <w:divBdr>
            <w:top w:val="none" w:sz="0" w:space="0" w:color="auto"/>
            <w:left w:val="none" w:sz="0" w:space="0" w:color="auto"/>
            <w:bottom w:val="none" w:sz="0" w:space="0" w:color="auto"/>
            <w:right w:val="none" w:sz="0" w:space="0" w:color="auto"/>
          </w:divBdr>
          <w:divsChild>
            <w:div w:id="77223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atalog.arizona.edu/policies"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atalog.arizona.edu/policy/continuous-enrollment-undergraduate-student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atalog.arizona.edu/policy/choice-catalog" TargetMode="External"/><Relationship Id="rId5" Type="http://schemas.openxmlformats.org/officeDocument/2006/relationships/numbering" Target="numbering.xml"/><Relationship Id="rId15" Type="http://schemas.openxmlformats.org/officeDocument/2006/relationships/hyperlink" Target="https://catalog.arizona.edu/policie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atalog.arizona.edu/policy/continuous-enrollment-undergraduate-student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A13DB43-370C-4B13-AF4F-1C9F73E566A9}"/>
      </w:docPartPr>
      <w:docPartBody>
        <w:p w:rsidR="00752431" w:rsidRDefault="001E1B20">
          <w:r w:rsidRPr="00886E4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B20"/>
    <w:rsid w:val="0002322A"/>
    <w:rsid w:val="001E1B20"/>
    <w:rsid w:val="003622DD"/>
    <w:rsid w:val="0048484E"/>
    <w:rsid w:val="00752431"/>
    <w:rsid w:val="0075328F"/>
    <w:rsid w:val="00763DD2"/>
    <w:rsid w:val="00865B5F"/>
    <w:rsid w:val="00AA6A60"/>
    <w:rsid w:val="00AD261E"/>
    <w:rsid w:val="00DE5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1B2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UA_Registrar">
  <a:themeElements>
    <a:clrScheme name="UA Color Palette">
      <a:dk1>
        <a:srgbClr val="000000"/>
      </a:dk1>
      <a:lt1>
        <a:srgbClr val="FFFFFF"/>
      </a:lt1>
      <a:dk2>
        <a:srgbClr val="E2E9EB"/>
      </a:dk2>
      <a:lt2>
        <a:srgbClr val="F4EDE5"/>
      </a:lt2>
      <a:accent1>
        <a:srgbClr val="AB0520"/>
      </a:accent1>
      <a:accent2>
        <a:srgbClr val="0C234B"/>
      </a:accent2>
      <a:accent3>
        <a:srgbClr val="EF4056"/>
      </a:accent3>
      <a:accent4>
        <a:srgbClr val="81D3EB"/>
      </a:accent4>
      <a:accent5>
        <a:srgbClr val="8B0015"/>
      </a:accent5>
      <a:accent6>
        <a:srgbClr val="1E5288"/>
      </a:accent6>
      <a:hlink>
        <a:srgbClr val="378DBD"/>
      </a:hlink>
      <a:folHlink>
        <a:srgbClr val="70B865"/>
      </a:folHlink>
    </a:clrScheme>
    <a:fontScheme name="Default - Title Slide">
      <a:majorFont>
        <a:latin typeface="Calibri"/>
        <a:ea typeface="ヒラギノ角ゴ ProN W3"/>
        <a:cs typeface="ヒラギノ角ゴ ProN W3"/>
      </a:majorFont>
      <a:minorFont>
        <a:latin typeface="Calibri"/>
        <a:ea typeface="ヒラギノ角ゴ ProN W3"/>
        <a:cs typeface="ヒラギノ角ゴ ProN W3"/>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25400" cap="flat" cmpd="sng" algn="ctr">
          <a:solidFill>
            <a:srgbClr val="000000"/>
          </a:solidFill>
          <a:prstDash val="solid"/>
          <a:round/>
          <a:headEnd type="none" w="med" len="med"/>
          <a:tailEnd type="none" w="med" len="med"/>
        </a:ln>
        <a:effectLst/>
        <a:extLst>
          <a:ext uri="{AF507438-7753-43e0-B8FC-AC1667EBCBE1}">
            <a14:hiddenEffects xmlns="" xmlns:a14="http://schemas.microsoft.com/office/drawing/2010/main">
              <a:effectLst>
                <a:outerShdw blurRad="63500" dist="38099" dir="2700000" algn="ctr" rotWithShape="0">
                  <a:schemeClr val="bg2">
                    <a:alpha val="74998"/>
                  </a:schemeClr>
                </a:outerShdw>
              </a:effectLst>
            </a14:hiddenEffects>
          </a:ext>
        </a:extLst>
      </a:spPr>
      <a:bodyPr vert="horz" wrap="square" lIns="91440" tIns="45720" rIns="91440" bIns="45720" numCol="1" anchor="t" anchorCtr="0" compatLnSpc="1">
        <a:prstTxWarp prst="textNoShape">
          <a:avLst/>
        </a:prstTxWarp>
      </a:bodyPr>
      <a:lstStyle>
        <a:defPPr marL="0" marR="0" indent="0" algn="ctr" defTabSz="914400" rtl="0" eaLnBrk="1" fontAlgn="base" latinLnBrk="0" hangingPunct="1">
          <a:lnSpc>
            <a:spcPct val="100000"/>
          </a:lnSpc>
          <a:spcBef>
            <a:spcPct val="0"/>
          </a:spcBef>
          <a:spcAft>
            <a:spcPct val="0"/>
          </a:spcAft>
          <a:buClrTx/>
          <a:buSzTx/>
          <a:buFontTx/>
          <a:buNone/>
          <a:tabLst/>
          <a:defRPr kumimoji="0" lang="en-US" sz="4200" b="0" i="0" u="none" strike="noStrike" cap="none" normalizeH="0" baseline="0">
            <a:ln>
              <a:noFill/>
            </a:ln>
            <a:solidFill>
              <a:srgbClr val="000000"/>
            </a:solidFill>
            <a:effectLst/>
            <a:latin typeface="Gill Sans" charset="0"/>
            <a:ea typeface="ヒラギノ角ゴ ProN W3" charset="0"/>
            <a:cs typeface="ヒラギノ角ゴ ProN W3" charset="0"/>
            <a:sym typeface="Gill Sans" charset="0"/>
          </a:defRPr>
        </a:defPPr>
      </a:lstStyle>
    </a:spDef>
    <a:lnDef>
      <a:spPr bwMode="auto">
        <a:xfrm>
          <a:off x="0" y="0"/>
          <a:ext cx="1" cy="1"/>
        </a:xfrm>
        <a:custGeom>
          <a:avLst/>
          <a:gdLst/>
          <a:ahLst/>
          <a:cxnLst/>
          <a:rect l="0" t="0" r="0" b="0"/>
          <a:pathLst/>
        </a:custGeom>
        <a:solidFill>
          <a:schemeClr val="accent1"/>
        </a:solidFill>
        <a:ln w="25400" cap="flat" cmpd="sng" algn="ctr">
          <a:solidFill>
            <a:srgbClr val="000000"/>
          </a:solidFill>
          <a:prstDash val="solid"/>
          <a:round/>
          <a:headEnd type="none" w="med" len="med"/>
          <a:tailEnd type="none" w="med" len="med"/>
        </a:ln>
        <a:effectLst/>
        <a:extLst>
          <a:ext uri="{AF507438-7753-43e0-B8FC-AC1667EBCBE1}">
            <a14:hiddenEffects xmlns="" xmlns:a14="http://schemas.microsoft.com/office/drawing/2010/main">
              <a:effectLst>
                <a:outerShdw blurRad="63500" dist="38099" dir="2700000" algn="ctr" rotWithShape="0">
                  <a:schemeClr val="bg2">
                    <a:alpha val="74998"/>
                  </a:schemeClr>
                </a:outerShdw>
              </a:effectLst>
            </a14:hiddenEffects>
          </a:ext>
        </a:extLst>
      </a:spPr>
      <a:bodyPr vert="horz" wrap="square" lIns="91440" tIns="45720" rIns="91440" bIns="45720" numCol="1" anchor="t" anchorCtr="0" compatLnSpc="1">
        <a:prstTxWarp prst="textNoShape">
          <a:avLst/>
        </a:prstTxWarp>
      </a:bodyPr>
      <a:lstStyle>
        <a:defPPr marL="0" marR="0" indent="0" algn="ctr" defTabSz="914400" rtl="0" eaLnBrk="1" fontAlgn="base" latinLnBrk="0" hangingPunct="1">
          <a:lnSpc>
            <a:spcPct val="100000"/>
          </a:lnSpc>
          <a:spcBef>
            <a:spcPct val="0"/>
          </a:spcBef>
          <a:spcAft>
            <a:spcPct val="0"/>
          </a:spcAft>
          <a:buClrTx/>
          <a:buSzTx/>
          <a:buFontTx/>
          <a:buNone/>
          <a:tabLst/>
          <a:defRPr kumimoji="0" lang="en-US" sz="4200" b="0" i="0" u="none" strike="noStrike" cap="none" normalizeH="0" baseline="0">
            <a:ln>
              <a:noFill/>
            </a:ln>
            <a:solidFill>
              <a:srgbClr val="000000"/>
            </a:solidFill>
            <a:effectLst/>
            <a:latin typeface="Gill Sans" charset="0"/>
            <a:ea typeface="ヒラギノ角ゴ ProN W3" charset="0"/>
            <a:cs typeface="ヒラギノ角ゴ ProN W3" charset="0"/>
            <a:sym typeface="Gill Sans" charset="0"/>
          </a:defRPr>
        </a:defPPr>
      </a:lstStyle>
    </a:lnDef>
    <a:txDef>
      <a:spPr bwMode="auto">
        <a:noFill/>
        <a:ln>
          <a:noFill/>
        </a:ln>
        <a:effectLst/>
        <a:extLst>
          <a:ext uri="{909E8E84-426E-40dd-AFC4-6F175D3DCCD1}">
            <a14:hiddenFill xmlns="" xmlns:a14="http://schemas.microsoft.com/office/drawing/2010/main">
              <a:solidFill>
                <a:srgbClr val="FFFFFF"/>
              </a:solidFill>
            </a14:hiddenFill>
          </a:ext>
          <a:ext uri="{91240B29-F687-4f45-9708-019B960494DF}">
            <a14:hiddenLine xmlns="" xmlns:a14="http://schemas.microsoft.com/office/drawing/2010/main" w="12700">
              <a:solidFill>
                <a:schemeClr val="tx1"/>
              </a:solidFill>
              <a:miter lim="800000"/>
              <a:headEnd/>
              <a:tailEnd/>
            </a14:hiddenLine>
          </a:ext>
          <a:ext uri="{AF507438-7753-43e0-B8FC-AC1667EBCBE1}">
            <a14:hiddenEffects xmlns="" xmlns:a14="http://schemas.microsoft.com/office/drawing/2010/main">
              <a:effectLst>
                <a:outerShdw blurRad="63500" dist="38099" dir="2700000" algn="ctr" rotWithShape="0">
                  <a:srgbClr val="000000">
                    <a:alpha val="74998"/>
                  </a:srgbClr>
                </a:outerShdw>
              </a:effectLst>
            </a14:hiddenEffects>
          </a:ext>
          <a:ext uri="{FAA26D3D-D897-4be2-8F04-BA451C77F1D7}">
            <ma14:placeholderFlag xmlns="" xmlns:ma14="http://schemas.microsoft.com/office/mac/drawingml/2011/main" val="1"/>
          </a:ext>
        </a:extLst>
      </a:spPr>
      <a:bodyPr vert="horz" wrap="square" lIns="38100" tIns="38100" rIns="38100" bIns="38100" numCol="1" anchor="ctr" anchorCtr="0" compatLnSpc="1">
        <a:prstTxWarp prst="textNoShape">
          <a:avLst/>
        </a:prstTxWarp>
      </a:bodyPr>
      <a:lstStyle>
        <a:defPPr>
          <a:defRPr sz="3400" b="0" i="0" dirty="0" smtClean="0">
            <a:latin typeface="Times New Roman"/>
          </a:defRPr>
        </a:defPPr>
      </a:lstStyle>
    </a:txDef>
  </a:objectDefaults>
  <a:extraClrSchemeLst>
    <a:extraClrScheme>
      <a:clrScheme name="Default - Title Slide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Lst>
  <a:extLst>
    <a:ext uri="{05A4C25C-085E-4340-85A3-A5531E510DB2}">
      <thm15:themeFamily xmlns:thm15="http://schemas.microsoft.com/office/thememl/2012/main" name="UA_Registrar" id="{EF3BBEEA-E215-4B0F-BBCB-26EF09EEE647}" vid="{528E58E2-7A8F-4C96-94FF-9A2168DAE52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70931a3f-c727-45b4-adc7-e3f907e5eefd">FWX4FJ7X4RDS-913105364-369194</_dlc_DocId>
    <_dlc_DocIdUrl xmlns="70931a3f-c727-45b4-adc7-e3f907e5eefd">
      <Url>https://emailarizona.sharepoint.com/sites/REG-Registrar/_layouts/15/DocIdRedir.aspx?ID=FWX4FJ7X4RDS-913105364-369194</Url>
      <Description>FWX4FJ7X4RDS-913105364-369194</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9492A8AF346CC4594AA0BDDFBEAD1A0" ma:contentTypeVersion="13" ma:contentTypeDescription="Create a new document." ma:contentTypeScope="" ma:versionID="1cd7ffcb16f47003754d6c41b89325ad">
  <xsd:schema xmlns:xsd="http://www.w3.org/2001/XMLSchema" xmlns:xs="http://www.w3.org/2001/XMLSchema" xmlns:p="http://schemas.microsoft.com/office/2006/metadata/properties" xmlns:ns2="70931a3f-c727-45b4-adc7-e3f907e5eefd" xmlns:ns3="f8cefbd0-631b-4424-80ee-a5c2e8ef5d51" targetNamespace="http://schemas.microsoft.com/office/2006/metadata/properties" ma:root="true" ma:fieldsID="998f8a5c3505b3a1f2984a1440aeaedd" ns2:_="" ns3:_="">
    <xsd:import namespace="70931a3f-c727-45b4-adc7-e3f907e5eefd"/>
    <xsd:import namespace="f8cefbd0-631b-4424-80ee-a5c2e8ef5d5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931a3f-c727-45b4-adc7-e3f907e5eef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cefbd0-631b-4424-80ee-a5c2e8ef5d5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DF5CA1-0C77-4A48-B3F1-DD57DE495926}">
  <ds:schemaRefs>
    <ds:schemaRef ds:uri="http://schemas.microsoft.com/sharepoint/v3/contenttype/forms"/>
  </ds:schemaRefs>
</ds:datastoreItem>
</file>

<file path=customXml/itemProps2.xml><?xml version="1.0" encoding="utf-8"?>
<ds:datastoreItem xmlns:ds="http://schemas.openxmlformats.org/officeDocument/2006/customXml" ds:itemID="{5474F285-711A-4FC4-8748-E38A1BB1992C}">
  <ds:schemaRefs>
    <ds:schemaRef ds:uri="http://schemas.microsoft.com/sharepoint/events"/>
  </ds:schemaRefs>
</ds:datastoreItem>
</file>

<file path=customXml/itemProps3.xml><?xml version="1.0" encoding="utf-8"?>
<ds:datastoreItem xmlns:ds="http://schemas.openxmlformats.org/officeDocument/2006/customXml" ds:itemID="{93B8BCE8-72D0-48E0-821C-F963E2D62711}">
  <ds:schemaRefs>
    <ds:schemaRef ds:uri="http://schemas.microsoft.com/office/2006/metadata/properties"/>
    <ds:schemaRef ds:uri="http://schemas.microsoft.com/office/infopath/2007/PartnerControls"/>
    <ds:schemaRef ds:uri="70931a3f-c727-45b4-adc7-e3f907e5eefd"/>
  </ds:schemaRefs>
</ds:datastoreItem>
</file>

<file path=customXml/itemProps4.xml><?xml version="1.0" encoding="utf-8"?>
<ds:datastoreItem xmlns:ds="http://schemas.openxmlformats.org/officeDocument/2006/customXml" ds:itemID="{8D2C31DE-AE78-4485-9E59-6B9E639FDC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931a3f-c727-45b4-adc7-e3f907e5eefd"/>
    <ds:schemaRef ds:uri="f8cefbd0-631b-4424-80ee-a5c2e8ef5d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3</Pages>
  <Words>831</Words>
  <Characters>4741</Characters>
  <Application>Microsoft Office Word</Application>
  <DocSecurity>0</DocSecurity>
  <Lines>39</Lines>
  <Paragraphs>11</Paragraphs>
  <ScaleCrop>false</ScaleCrop>
  <Company/>
  <LinksUpToDate>false</LinksUpToDate>
  <CharactersWithSpaces>5561</CharactersWithSpaces>
  <SharedDoc>false</SharedDoc>
  <HLinks>
    <vt:vector size="30" baseType="variant">
      <vt:variant>
        <vt:i4>5177424</vt:i4>
      </vt:variant>
      <vt:variant>
        <vt:i4>12</vt:i4>
      </vt:variant>
      <vt:variant>
        <vt:i4>0</vt:i4>
      </vt:variant>
      <vt:variant>
        <vt:i4>5</vt:i4>
      </vt:variant>
      <vt:variant>
        <vt:lpwstr>https://catalog.arizona.edu/policies</vt:lpwstr>
      </vt:variant>
      <vt:variant>
        <vt:lpwstr/>
      </vt:variant>
      <vt:variant>
        <vt:i4>8323193</vt:i4>
      </vt:variant>
      <vt:variant>
        <vt:i4>9</vt:i4>
      </vt:variant>
      <vt:variant>
        <vt:i4>0</vt:i4>
      </vt:variant>
      <vt:variant>
        <vt:i4>5</vt:i4>
      </vt:variant>
      <vt:variant>
        <vt:lpwstr>https://catalog.arizona.edu/policy/continuous-enrollment-undergraduate-students</vt:lpwstr>
      </vt:variant>
      <vt:variant>
        <vt:lpwstr/>
      </vt:variant>
      <vt:variant>
        <vt:i4>5177424</vt:i4>
      </vt:variant>
      <vt:variant>
        <vt:i4>6</vt:i4>
      </vt:variant>
      <vt:variant>
        <vt:i4>0</vt:i4>
      </vt:variant>
      <vt:variant>
        <vt:i4>5</vt:i4>
      </vt:variant>
      <vt:variant>
        <vt:lpwstr>https://catalog.arizona.edu/policies</vt:lpwstr>
      </vt:variant>
      <vt:variant>
        <vt:lpwstr/>
      </vt:variant>
      <vt:variant>
        <vt:i4>8323193</vt:i4>
      </vt:variant>
      <vt:variant>
        <vt:i4>3</vt:i4>
      </vt:variant>
      <vt:variant>
        <vt:i4>0</vt:i4>
      </vt:variant>
      <vt:variant>
        <vt:i4>5</vt:i4>
      </vt:variant>
      <vt:variant>
        <vt:lpwstr>https://catalog.arizona.edu/policy/continuous-enrollment-undergraduate-students</vt:lpwstr>
      </vt:variant>
      <vt:variant>
        <vt:lpwstr/>
      </vt:variant>
      <vt:variant>
        <vt:i4>65541</vt:i4>
      </vt:variant>
      <vt:variant>
        <vt:i4>0</vt:i4>
      </vt:variant>
      <vt:variant>
        <vt:i4>0</vt:i4>
      </vt:variant>
      <vt:variant>
        <vt:i4>5</vt:i4>
      </vt:variant>
      <vt:variant>
        <vt:lpwstr>https://catalog.arizona.edu/policy/choice-catalog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Underwood, Alex - (aunderwood)</dc:creator>
  <cp:keywords/>
  <dc:description/>
  <cp:lastModifiedBy>Sorg, Abigail H - (asorg)</cp:lastModifiedBy>
  <cp:revision>79</cp:revision>
  <dcterms:created xsi:type="dcterms:W3CDTF">2021-09-27T16:21:00Z</dcterms:created>
  <dcterms:modified xsi:type="dcterms:W3CDTF">2021-11-19T00:21:00Z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0x01010099492A8AF346CC4594AA0BDDFBEAD1A0</vt:lpwstr>
  </property>
  <property fmtid="{D5CDD505-2E9C-101B-9397-08002B2CF9AE}" pid="3" name="_dlc_DocIdItemGuid">
    <vt:lpwstr>3db3c0f3-ee47-4392-8f5b-a9f71bcb5229</vt:lpwstr>
  </property>
</Properties>
</file>