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91" w:rsidRDefault="00370191">
      <w:r>
        <w:rPr>
          <w:noProof/>
        </w:rPr>
        <w:drawing>
          <wp:inline distT="0" distB="0" distL="0" distR="0" wp14:anchorId="3E252DE0" wp14:editId="335DCC4F">
            <wp:extent cx="5943600" cy="599440"/>
            <wp:effectExtent l="0" t="0" r="0" b="0"/>
            <wp:docPr id="1" name="Picture 1" descr="https://catalog.arizona.edu/sites/default/files/academic-polici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alog.arizona.edu/sites/default/files/academic-policies-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9440"/>
                    </a:xfrm>
                    <a:prstGeom prst="rect">
                      <a:avLst/>
                    </a:prstGeom>
                    <a:noFill/>
                    <a:ln>
                      <a:noFill/>
                    </a:ln>
                  </pic:spPr>
                </pic:pic>
              </a:graphicData>
            </a:graphic>
          </wp:inline>
        </w:drawing>
      </w:r>
      <w:bookmarkStart w:id="0" w:name="_GoBack"/>
      <w:bookmarkEnd w:id="0"/>
    </w:p>
    <w:p w:rsidR="00370191" w:rsidRPr="00370191" w:rsidRDefault="00370191" w:rsidP="00370191">
      <w:pPr>
        <w:shd w:val="clear" w:color="auto" w:fill="FFFFFF"/>
        <w:spacing w:before="240" w:after="120" w:line="240" w:lineRule="auto"/>
        <w:outlineLvl w:val="0"/>
        <w:rPr>
          <w:rFonts w:ascii="Times New Roman" w:eastAsia="Times New Roman" w:hAnsi="Times New Roman" w:cs="Times New Roman"/>
          <w:color w:val="49595E"/>
          <w:spacing w:val="-1"/>
          <w:kern w:val="36"/>
          <w:sz w:val="40"/>
          <w:szCs w:val="40"/>
        </w:rPr>
      </w:pPr>
      <w:r w:rsidRPr="00370191">
        <w:rPr>
          <w:rFonts w:ascii="Times New Roman" w:eastAsia="Times New Roman" w:hAnsi="Times New Roman" w:cs="Times New Roman"/>
          <w:color w:val="49595E"/>
          <w:spacing w:val="-1"/>
          <w:kern w:val="36"/>
          <w:sz w:val="40"/>
          <w:szCs w:val="40"/>
        </w:rPr>
        <w:t>Acceptability of Undergraduate Transfer Credit</w:t>
      </w:r>
    </w:p>
    <w:p w:rsidR="00370191" w:rsidRPr="00370191" w:rsidRDefault="00370191" w:rsidP="00370191">
      <w:pPr>
        <w:spacing w:after="180" w:line="240" w:lineRule="auto"/>
        <w:rPr>
          <w:rFonts w:ascii="Times New Roman" w:eastAsia="Times New Roman" w:hAnsi="Times New Roman" w:cs="Times New Roman"/>
          <w:color w:val="FF0000"/>
          <w:sz w:val="24"/>
          <w:szCs w:val="24"/>
        </w:rPr>
      </w:pPr>
      <w:r w:rsidRPr="00370191">
        <w:rPr>
          <w:rFonts w:ascii="Times New Roman" w:eastAsia="Times New Roman" w:hAnsi="Times New Roman" w:cs="Times New Roman"/>
          <w:color w:val="FF0000"/>
          <w:sz w:val="24"/>
          <w:szCs w:val="24"/>
        </w:rPr>
        <w:t xml:space="preserve">11/13/18 Note: credit may be awarded for prior learning and for course work from non-regionally accredited institutions beginning in </w:t>
      </w:r>
      <w:proofErr w:type="gramStart"/>
      <w:r w:rsidRPr="00370191">
        <w:rPr>
          <w:rFonts w:ascii="Times New Roman" w:eastAsia="Times New Roman" w:hAnsi="Times New Roman" w:cs="Times New Roman"/>
          <w:color w:val="FF0000"/>
          <w:sz w:val="24"/>
          <w:szCs w:val="24"/>
        </w:rPr>
        <w:t>Spring</w:t>
      </w:r>
      <w:proofErr w:type="gramEnd"/>
      <w:r w:rsidRPr="00370191">
        <w:rPr>
          <w:rFonts w:ascii="Times New Roman" w:eastAsia="Times New Roman" w:hAnsi="Times New Roman" w:cs="Times New Roman"/>
          <w:color w:val="FF0000"/>
          <w:sz w:val="24"/>
          <w:szCs w:val="24"/>
        </w:rPr>
        <w:t xml:space="preserve"> 2019.</w:t>
      </w:r>
    </w:p>
    <w:p w:rsidR="00370191" w:rsidRPr="00370191" w:rsidRDefault="00370191" w:rsidP="00370191">
      <w:pPr>
        <w:spacing w:after="180"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The determination of acceptability of credit for course work completed at another institution of higher learning is made solely at the discretion of the University of Arizona. The evaluation of course work completed at another institution or exam credit from an approved organization will be based only on an official transcript from the offering institution or organization.</w:t>
      </w:r>
    </w:p>
    <w:p w:rsidR="00370191" w:rsidRPr="00370191" w:rsidRDefault="00370191" w:rsidP="00370191">
      <w:pPr>
        <w:spacing w:after="180"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b/>
          <w:bCs/>
          <w:sz w:val="24"/>
          <w:szCs w:val="24"/>
        </w:rPr>
        <w:t>General policies</w:t>
      </w:r>
      <w:r w:rsidRPr="00370191">
        <w:rPr>
          <w:rFonts w:ascii="Times New Roman" w:eastAsia="Times New Roman" w:hAnsi="Times New Roman" w:cs="Times New Roman"/>
          <w:sz w:val="24"/>
          <w:szCs w:val="24"/>
        </w:rPr>
        <w:t>:</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Course work of comparable content to University of Arizona courses is usually transferable if it was completed at colleges or universities accredited by regional accreditation associations at the time the course work was completed. </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If course work was completed at a non-regionally accredited school, the student may request that up to two (2) courses be considered for transfer, not to exceed a maximum of 10 credits. See </w:t>
      </w:r>
      <w:hyperlink r:id="rId6" w:history="1">
        <w:r w:rsidRPr="00370191">
          <w:rPr>
            <w:rFonts w:ascii="Times New Roman" w:eastAsia="Times New Roman" w:hAnsi="Times New Roman" w:cs="Times New Roman"/>
            <w:b/>
            <w:bCs/>
            <w:color w:val="8F1124"/>
            <w:sz w:val="24"/>
            <w:szCs w:val="24"/>
            <w:u w:val="single"/>
          </w:rPr>
          <w:t>Non-Regionally Accredited Course Work Transfer Policy</w:t>
        </w:r>
      </w:hyperlink>
      <w:r w:rsidRPr="00370191">
        <w:rPr>
          <w:rFonts w:ascii="Times New Roman" w:eastAsia="Times New Roman" w:hAnsi="Times New Roman" w:cs="Times New Roman"/>
          <w:sz w:val="24"/>
          <w:szCs w:val="24"/>
        </w:rPr>
        <w:t>.</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Requests for credit for Prior Learning (Prior Learning Assessment) are reviewed on a case by case basis. No more than six (6) general elective credits for Prior Learning will apply to the student’s degree. See </w:t>
      </w:r>
      <w:hyperlink r:id="rId7" w:history="1">
        <w:r w:rsidRPr="00370191">
          <w:rPr>
            <w:rFonts w:ascii="Times New Roman" w:eastAsia="Times New Roman" w:hAnsi="Times New Roman" w:cs="Times New Roman"/>
            <w:b/>
            <w:bCs/>
            <w:color w:val="8F1124"/>
            <w:sz w:val="24"/>
            <w:szCs w:val="24"/>
            <w:u w:val="single"/>
          </w:rPr>
          <w:t>Credit for Prior Learning Policy</w:t>
        </w:r>
      </w:hyperlink>
      <w:r w:rsidRPr="00370191">
        <w:rPr>
          <w:rFonts w:ascii="Times New Roman" w:eastAsia="Times New Roman" w:hAnsi="Times New Roman" w:cs="Times New Roman"/>
          <w:sz w:val="24"/>
          <w:szCs w:val="24"/>
        </w:rPr>
        <w:t>.</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Course credit earned at an institution of higher education in another country is generally considered transferable if that international institution is recognized by the Ministry of Education as a degree granting institution or by an American accreditation body.  </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Credit is not given for grades lower than a "C".</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Grades from other institutions are not included in the calculation of the University of Arizona grade-point average.</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The University of Arizona considers the credit recommendations from the American Council on Education (ACE). Remedial, vocational, and personal development courses are not accepted for credit.</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Physical education (PE) activity courses and </w:t>
      </w:r>
      <w:hyperlink r:id="rId8" w:history="1">
        <w:r w:rsidRPr="00370191">
          <w:rPr>
            <w:rFonts w:ascii="Times New Roman" w:eastAsia="Times New Roman" w:hAnsi="Times New Roman" w:cs="Times New Roman"/>
            <w:b/>
            <w:bCs/>
            <w:color w:val="8F1124"/>
            <w:sz w:val="24"/>
            <w:szCs w:val="24"/>
            <w:u w:val="single"/>
          </w:rPr>
          <w:t>Success Courses</w:t>
        </w:r>
      </w:hyperlink>
      <w:r w:rsidRPr="00370191">
        <w:rPr>
          <w:rFonts w:ascii="Times New Roman" w:eastAsia="Times New Roman" w:hAnsi="Times New Roman" w:cs="Times New Roman"/>
          <w:sz w:val="24"/>
          <w:szCs w:val="24"/>
        </w:rPr>
        <w:t> are accepted for credit; however, no more than three (3) PE activity credits and three (3) Success Course credits will apply as general electives toward the student's degree.</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370191">
          <w:rPr>
            <w:rFonts w:ascii="Times New Roman" w:eastAsia="Times New Roman" w:hAnsi="Times New Roman" w:cs="Times New Roman"/>
            <w:b/>
            <w:bCs/>
            <w:color w:val="8F1124"/>
            <w:sz w:val="24"/>
            <w:szCs w:val="24"/>
            <w:u w:val="single"/>
          </w:rPr>
          <w:t>Proficiency or competency credit-by-exam</w:t>
        </w:r>
      </w:hyperlink>
      <w:r w:rsidRPr="00370191">
        <w:rPr>
          <w:rFonts w:ascii="Times New Roman" w:eastAsia="Times New Roman" w:hAnsi="Times New Roman" w:cs="Times New Roman"/>
          <w:sz w:val="24"/>
          <w:szCs w:val="24"/>
        </w:rPr>
        <w:t> earned at another college or university is non-transferable. </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The </w:t>
      </w:r>
      <w:hyperlink r:id="rId10" w:tgtFrame="_blank" w:history="1">
        <w:r w:rsidRPr="00370191">
          <w:rPr>
            <w:rFonts w:ascii="Times New Roman" w:eastAsia="Times New Roman" w:hAnsi="Times New Roman" w:cs="Times New Roman"/>
            <w:b/>
            <w:bCs/>
            <w:color w:val="8F1124"/>
            <w:sz w:val="24"/>
            <w:szCs w:val="24"/>
            <w:u w:val="single"/>
          </w:rPr>
          <w:t xml:space="preserve">Office of Transfer Credit &amp; </w:t>
        </w:r>
        <w:proofErr w:type="gramStart"/>
        <w:r w:rsidRPr="00370191">
          <w:rPr>
            <w:rFonts w:ascii="Times New Roman" w:eastAsia="Times New Roman" w:hAnsi="Times New Roman" w:cs="Times New Roman"/>
            <w:b/>
            <w:bCs/>
            <w:color w:val="8F1124"/>
            <w:sz w:val="24"/>
            <w:szCs w:val="24"/>
            <w:u w:val="single"/>
          </w:rPr>
          <w:t>Articulation</w:t>
        </w:r>
        <w:r w:rsidRPr="00370191">
          <w:rPr>
            <w:rFonts w:ascii="Times New Roman" w:eastAsia="Times New Roman" w:hAnsi="Times New Roman" w:cs="Times New Roman"/>
            <w:b/>
            <w:bCs/>
            <w:color w:val="8F1124"/>
            <w:sz w:val="24"/>
            <w:szCs w:val="24"/>
          </w:rPr>
          <w:t>(</w:t>
        </w:r>
        <w:proofErr w:type="gramEnd"/>
        <w:r w:rsidRPr="00370191">
          <w:rPr>
            <w:rFonts w:ascii="Times New Roman" w:eastAsia="Times New Roman" w:hAnsi="Times New Roman" w:cs="Times New Roman"/>
            <w:b/>
            <w:bCs/>
            <w:color w:val="8F1124"/>
            <w:sz w:val="24"/>
            <w:szCs w:val="24"/>
          </w:rPr>
          <w:t>link is external)</w:t>
        </w:r>
      </w:hyperlink>
      <w:r w:rsidRPr="00370191">
        <w:rPr>
          <w:rFonts w:ascii="Times New Roman" w:eastAsia="Times New Roman" w:hAnsi="Times New Roman" w:cs="Times New Roman"/>
          <w:sz w:val="24"/>
          <w:szCs w:val="24"/>
        </w:rPr>
        <w:t> collaborates with appropriate University faculty on the evaluation of transfer credit and determination of transferable learning.</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Courses from Arizona public community colleges are evaluated by the Director of Transfer Curriculum &amp; Articulation and by the appropriate University faculty to determine which courses are acceptable for transfer.</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 xml:space="preserve">Transferability of courses of independent study, internship, or practicum are subject to approval by the appropriate faculty at The University of Arizona and may be restricted </w:t>
      </w:r>
      <w:r w:rsidRPr="00370191">
        <w:rPr>
          <w:rFonts w:ascii="Times New Roman" w:eastAsia="Times New Roman" w:hAnsi="Times New Roman" w:cs="Times New Roman"/>
          <w:sz w:val="24"/>
          <w:szCs w:val="24"/>
        </w:rPr>
        <w:lastRenderedPageBreak/>
        <w:t>both in number of units and in degree applicability. Students who have taken community college courses in these categories may petition for an exception.</w:t>
      </w:r>
    </w:p>
    <w:p w:rsidR="00370191" w:rsidRPr="00370191" w:rsidRDefault="00370191" w:rsidP="0037019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370191">
          <w:rPr>
            <w:rFonts w:ascii="Times New Roman" w:eastAsia="Times New Roman" w:hAnsi="Times New Roman" w:cs="Times New Roman"/>
            <w:b/>
            <w:bCs/>
            <w:color w:val="8F1124"/>
            <w:sz w:val="24"/>
            <w:szCs w:val="24"/>
            <w:u w:val="single"/>
          </w:rPr>
          <w:t>Students who lack not more than a one-semester course</w:t>
        </w:r>
      </w:hyperlink>
      <w:r w:rsidRPr="00370191">
        <w:rPr>
          <w:rFonts w:ascii="Times New Roman" w:eastAsia="Times New Roman" w:hAnsi="Times New Roman" w:cs="Times New Roman"/>
          <w:sz w:val="24"/>
          <w:szCs w:val="24"/>
        </w:rPr>
        <w:t> toward the fulfillment of curriculum and minimum-graduation-average requirements may apply, as the final course to complete the degree, a single one-semester course in residence at another accredited institution. The graduation GPA shown on the transcript will include the grade from the approved course taken in absentia. An anecdotal note will be added to the transcript explaining the difference between the graduation GPA and the cumulative GPA, which will not reflect the course taken in absentia. Permission must be obtained from the academic dean, prior to enrolling for the course, to apply the grade received in such a course toward the graduation average. This provision may be applied also to the required separate average of 2.000 in the major field if prior permission is obtained from the major </w:t>
      </w:r>
      <w:hyperlink r:id="rId12" w:tgtFrame="_blank" w:history="1">
        <w:proofErr w:type="gramStart"/>
        <w:r w:rsidRPr="00370191">
          <w:rPr>
            <w:rFonts w:ascii="Times New Roman" w:eastAsia="Times New Roman" w:hAnsi="Times New Roman" w:cs="Times New Roman"/>
            <w:b/>
            <w:bCs/>
            <w:color w:val="8F1124"/>
            <w:sz w:val="24"/>
            <w:szCs w:val="24"/>
            <w:u w:val="single"/>
          </w:rPr>
          <w:t>advisor</w:t>
        </w:r>
        <w:r w:rsidRPr="00370191">
          <w:rPr>
            <w:rFonts w:ascii="Times New Roman" w:eastAsia="Times New Roman" w:hAnsi="Times New Roman" w:cs="Times New Roman"/>
            <w:b/>
            <w:bCs/>
            <w:color w:val="8F1124"/>
            <w:sz w:val="24"/>
            <w:szCs w:val="24"/>
          </w:rPr>
          <w:t>(</w:t>
        </w:r>
        <w:proofErr w:type="gramEnd"/>
        <w:r w:rsidRPr="00370191">
          <w:rPr>
            <w:rFonts w:ascii="Times New Roman" w:eastAsia="Times New Roman" w:hAnsi="Times New Roman" w:cs="Times New Roman"/>
            <w:b/>
            <w:bCs/>
            <w:color w:val="8F1124"/>
            <w:sz w:val="24"/>
            <w:szCs w:val="24"/>
          </w:rPr>
          <w:t>link is external)</w:t>
        </w:r>
      </w:hyperlink>
      <w:r w:rsidRPr="00370191">
        <w:rPr>
          <w:rFonts w:ascii="Times New Roman" w:eastAsia="Times New Roman" w:hAnsi="Times New Roman" w:cs="Times New Roman"/>
          <w:sz w:val="24"/>
          <w:szCs w:val="24"/>
        </w:rPr>
        <w:t> and the academic dean.</w:t>
      </w:r>
      <w:r w:rsidRPr="00370191">
        <w:rPr>
          <w:rFonts w:ascii="Times New Roman" w:eastAsia="Times New Roman" w:hAnsi="Times New Roman" w:cs="Times New Roman"/>
          <w:sz w:val="24"/>
          <w:szCs w:val="24"/>
        </w:rPr>
        <w:br/>
        <w:t> </w:t>
      </w:r>
    </w:p>
    <w:p w:rsidR="00370191" w:rsidRPr="00370191" w:rsidRDefault="00370191" w:rsidP="00370191">
      <w:pPr>
        <w:spacing w:after="180" w:line="240" w:lineRule="auto"/>
        <w:rPr>
          <w:rFonts w:ascii="Times New Roman" w:eastAsia="Times New Roman" w:hAnsi="Times New Roman" w:cs="Times New Roman"/>
          <w:sz w:val="24"/>
          <w:szCs w:val="24"/>
        </w:rPr>
      </w:pPr>
      <w:r w:rsidRPr="00370191">
        <w:rPr>
          <w:rFonts w:ascii="Times New Roman" w:eastAsia="Times New Roman" w:hAnsi="Times New Roman" w:cs="Times New Roman"/>
          <w:sz w:val="24"/>
          <w:szCs w:val="24"/>
        </w:rPr>
        <w:t>Applicability of </w:t>
      </w:r>
      <w:hyperlink r:id="rId13" w:tgtFrame="_blank" w:history="1">
        <w:r w:rsidRPr="00370191">
          <w:rPr>
            <w:rFonts w:ascii="Times New Roman" w:eastAsia="Times New Roman" w:hAnsi="Times New Roman" w:cs="Times New Roman"/>
            <w:b/>
            <w:bCs/>
            <w:color w:val="8F1124"/>
            <w:sz w:val="24"/>
            <w:szCs w:val="24"/>
            <w:u w:val="single"/>
          </w:rPr>
          <w:t xml:space="preserve">transfer </w:t>
        </w:r>
        <w:proofErr w:type="gramStart"/>
        <w:r w:rsidRPr="00370191">
          <w:rPr>
            <w:rFonts w:ascii="Times New Roman" w:eastAsia="Times New Roman" w:hAnsi="Times New Roman" w:cs="Times New Roman"/>
            <w:b/>
            <w:bCs/>
            <w:color w:val="8F1124"/>
            <w:sz w:val="24"/>
            <w:szCs w:val="24"/>
            <w:u w:val="single"/>
          </w:rPr>
          <w:t>credit</w:t>
        </w:r>
        <w:r w:rsidRPr="00370191">
          <w:rPr>
            <w:rFonts w:ascii="Times New Roman" w:eastAsia="Times New Roman" w:hAnsi="Times New Roman" w:cs="Times New Roman"/>
            <w:b/>
            <w:bCs/>
            <w:color w:val="8F1124"/>
            <w:sz w:val="24"/>
            <w:szCs w:val="24"/>
          </w:rPr>
          <w:t>(</w:t>
        </w:r>
        <w:proofErr w:type="gramEnd"/>
        <w:r w:rsidRPr="00370191">
          <w:rPr>
            <w:rFonts w:ascii="Times New Roman" w:eastAsia="Times New Roman" w:hAnsi="Times New Roman" w:cs="Times New Roman"/>
            <w:b/>
            <w:bCs/>
            <w:color w:val="8F1124"/>
            <w:sz w:val="24"/>
            <w:szCs w:val="24"/>
          </w:rPr>
          <w:t>link is external)</w:t>
        </w:r>
      </w:hyperlink>
      <w:r w:rsidRPr="00370191">
        <w:rPr>
          <w:rFonts w:ascii="Times New Roman" w:eastAsia="Times New Roman" w:hAnsi="Times New Roman" w:cs="Times New Roman"/>
          <w:sz w:val="24"/>
          <w:szCs w:val="24"/>
        </w:rPr>
        <w:t> to a student's academic curriculum is determined by the academic advisor in the student's major </w:t>
      </w:r>
      <w:hyperlink r:id="rId14" w:tgtFrame="_blank" w:history="1">
        <w:r w:rsidRPr="00370191">
          <w:rPr>
            <w:rFonts w:ascii="Times New Roman" w:eastAsia="Times New Roman" w:hAnsi="Times New Roman" w:cs="Times New Roman"/>
            <w:b/>
            <w:bCs/>
            <w:color w:val="8F1124"/>
            <w:sz w:val="24"/>
            <w:szCs w:val="24"/>
            <w:u w:val="single"/>
          </w:rPr>
          <w:t>department</w:t>
        </w:r>
        <w:r w:rsidRPr="00370191">
          <w:rPr>
            <w:rFonts w:ascii="Times New Roman" w:eastAsia="Times New Roman" w:hAnsi="Times New Roman" w:cs="Times New Roman"/>
            <w:b/>
            <w:bCs/>
            <w:color w:val="8F1124"/>
            <w:sz w:val="24"/>
            <w:szCs w:val="24"/>
          </w:rPr>
          <w:t>(link is external)</w:t>
        </w:r>
      </w:hyperlink>
      <w:r w:rsidRPr="00370191">
        <w:rPr>
          <w:rFonts w:ascii="Times New Roman" w:eastAsia="Times New Roman" w:hAnsi="Times New Roman" w:cs="Times New Roman"/>
          <w:sz w:val="24"/>
          <w:szCs w:val="24"/>
        </w:rPr>
        <w:t>.</w:t>
      </w:r>
    </w:p>
    <w:p w:rsidR="00370191" w:rsidRDefault="00370191"/>
    <w:sectPr w:rsidR="0037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71B53"/>
    <w:multiLevelType w:val="multilevel"/>
    <w:tmpl w:val="017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91"/>
    <w:rsid w:val="00370191"/>
    <w:rsid w:val="00387B7B"/>
    <w:rsid w:val="006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35B8"/>
  <w15:chartTrackingRefBased/>
  <w15:docId w15:val="{26536DF4-C79B-408E-A3E6-EECD32C0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0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191"/>
    <w:rPr>
      <w:b/>
      <w:bCs/>
    </w:rPr>
  </w:style>
  <w:style w:type="character" w:styleId="Hyperlink">
    <w:name w:val="Hyperlink"/>
    <w:basedOn w:val="DefaultParagraphFont"/>
    <w:uiPriority w:val="99"/>
    <w:semiHidden/>
    <w:unhideWhenUsed/>
    <w:rsid w:val="00370191"/>
    <w:rPr>
      <w:color w:val="0000FF"/>
      <w:u w:val="single"/>
    </w:rPr>
  </w:style>
  <w:style w:type="character" w:customStyle="1" w:styleId="element-invisible">
    <w:name w:val="element-invisible"/>
    <w:basedOn w:val="DefaultParagraphFont"/>
    <w:rsid w:val="0037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9761">
      <w:bodyDiv w:val="1"/>
      <w:marLeft w:val="0"/>
      <w:marRight w:val="0"/>
      <w:marTop w:val="0"/>
      <w:marBottom w:val="0"/>
      <w:divBdr>
        <w:top w:val="none" w:sz="0" w:space="0" w:color="auto"/>
        <w:left w:val="none" w:sz="0" w:space="0" w:color="auto"/>
        <w:bottom w:val="none" w:sz="0" w:space="0" w:color="auto"/>
        <w:right w:val="none" w:sz="0" w:space="0" w:color="auto"/>
      </w:divBdr>
      <w:divsChild>
        <w:div w:id="1510755602">
          <w:marLeft w:val="0"/>
          <w:marRight w:val="0"/>
          <w:marTop w:val="0"/>
          <w:marBottom w:val="0"/>
          <w:divBdr>
            <w:top w:val="none" w:sz="0" w:space="0" w:color="auto"/>
            <w:left w:val="none" w:sz="0" w:space="0" w:color="auto"/>
            <w:bottom w:val="none" w:sz="0" w:space="0" w:color="auto"/>
            <w:right w:val="none" w:sz="0" w:space="0" w:color="auto"/>
          </w:divBdr>
          <w:divsChild>
            <w:div w:id="1131363982">
              <w:marLeft w:val="0"/>
              <w:marRight w:val="0"/>
              <w:marTop w:val="0"/>
              <w:marBottom w:val="0"/>
              <w:divBdr>
                <w:top w:val="none" w:sz="0" w:space="0" w:color="auto"/>
                <w:left w:val="none" w:sz="0" w:space="0" w:color="auto"/>
                <w:bottom w:val="none" w:sz="0" w:space="0" w:color="auto"/>
                <w:right w:val="none" w:sz="0" w:space="0" w:color="auto"/>
              </w:divBdr>
              <w:divsChild>
                <w:div w:id="19380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success-courses-definition-policies-and-guidelines" TargetMode="External"/><Relationship Id="rId13" Type="http://schemas.openxmlformats.org/officeDocument/2006/relationships/hyperlink" Target="https://www.registrar.arizona.edu/academics/transfer-credit-approval" TargetMode="External"/><Relationship Id="rId3" Type="http://schemas.openxmlformats.org/officeDocument/2006/relationships/settings" Target="settings.xml"/><Relationship Id="rId7" Type="http://schemas.openxmlformats.org/officeDocument/2006/relationships/hyperlink" Target="https://catalog.arizona.edu/policy/credit-prior-learning-prior-learning-assessment-policy" TargetMode="External"/><Relationship Id="rId12" Type="http://schemas.openxmlformats.org/officeDocument/2006/relationships/hyperlink" Target="http://www.advising.arizo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talog.arizona.edu/policy/non-regionally-accredited-course-work-transfer-policy" TargetMode="External"/><Relationship Id="rId11" Type="http://schemas.openxmlformats.org/officeDocument/2006/relationships/hyperlink" Target="https://catalog.arizona.edu/policy/graduation-grade-averages-and-credit-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ransfercredit.arizona.edu/" TargetMode="External"/><Relationship Id="rId4" Type="http://schemas.openxmlformats.org/officeDocument/2006/relationships/webSettings" Target="webSettings.xml"/><Relationship Id="rId9" Type="http://schemas.openxmlformats.org/officeDocument/2006/relationships/hyperlink" Target="https://catalog.arizona.edu/policy/proficiencycompetency-and-exemption-examinations-special-examination-credit-or-grade" TargetMode="External"/><Relationship Id="rId14" Type="http://schemas.openxmlformats.org/officeDocument/2006/relationships/hyperlink" Target="http://directory.arizona.edu/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1</cp:revision>
  <dcterms:created xsi:type="dcterms:W3CDTF">2019-08-22T17:18:00Z</dcterms:created>
  <dcterms:modified xsi:type="dcterms:W3CDTF">2019-08-22T17:19:00Z</dcterms:modified>
</cp:coreProperties>
</file>