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3240"/>
        <w:gridCol w:w="2222"/>
      </w:tblGrid>
      <w:tr w:rsidR="007127F6" w14:paraId="507B3D49" w14:textId="77777777" w:rsidTr="00304A98">
        <w:tc>
          <w:tcPr>
            <w:tcW w:w="9350" w:type="dxa"/>
            <w:gridSpan w:val="3"/>
            <w:shd w:val="clear" w:color="auto" w:fill="001C48"/>
            <w:vAlign w:val="center"/>
          </w:tcPr>
          <w:p w14:paraId="60920D4F" w14:textId="77777777" w:rsidR="007127F6" w:rsidRDefault="007127F6" w:rsidP="00D74E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2024-2025 POLICY ROADMAP: UGC CURRICULUM &amp; POLICIES SUBCOMMITTEE</w:t>
            </w:r>
          </w:p>
          <w:p w14:paraId="6E7D1AD5" w14:textId="3C66E2B5" w:rsidR="007127F6" w:rsidRPr="00511EDF" w:rsidRDefault="007127F6" w:rsidP="00D74E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4A98" w14:paraId="63CAED76" w14:textId="77777777" w:rsidTr="00304A98">
        <w:tc>
          <w:tcPr>
            <w:tcW w:w="3888" w:type="dxa"/>
            <w:shd w:val="clear" w:color="auto" w:fill="001C48"/>
            <w:vAlign w:val="center"/>
          </w:tcPr>
          <w:p w14:paraId="56A19933" w14:textId="7B04C6DE" w:rsidR="00304A98" w:rsidRDefault="00304A98" w:rsidP="00D74EC8">
            <w:r w:rsidRPr="00511EDF">
              <w:rPr>
                <w:b/>
                <w:bCs/>
                <w:sz w:val="24"/>
                <w:szCs w:val="24"/>
              </w:rPr>
              <w:t>Pro</w:t>
            </w:r>
            <w:r w:rsidRPr="007127F6">
              <w:rPr>
                <w:b/>
                <w:bCs/>
                <w:sz w:val="24"/>
                <w:szCs w:val="24"/>
              </w:rPr>
              <w:t>posal</w:t>
            </w:r>
            <w:r w:rsidRPr="00511EDF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3240" w:type="dxa"/>
            <w:shd w:val="clear" w:color="auto" w:fill="001C48"/>
            <w:vAlign w:val="center"/>
          </w:tcPr>
          <w:p w14:paraId="107F1D1C" w14:textId="551DC9EB" w:rsidR="00304A98" w:rsidRPr="00304A98" w:rsidRDefault="00304A98" w:rsidP="00304A98">
            <w:pPr>
              <w:rPr>
                <w:b/>
                <w:bCs/>
                <w:sz w:val="24"/>
                <w:szCs w:val="24"/>
              </w:rPr>
            </w:pPr>
            <w:r w:rsidRPr="00304A98">
              <w:rPr>
                <w:b/>
                <w:bCs/>
                <w:sz w:val="24"/>
                <w:szCs w:val="24"/>
              </w:rPr>
              <w:t>Related Policy Links</w:t>
            </w:r>
          </w:p>
        </w:tc>
        <w:tc>
          <w:tcPr>
            <w:tcW w:w="2222" w:type="dxa"/>
            <w:shd w:val="clear" w:color="auto" w:fill="001C48"/>
            <w:vAlign w:val="center"/>
          </w:tcPr>
          <w:p w14:paraId="778C7E01" w14:textId="20AB1C5D" w:rsidR="00304A98" w:rsidRPr="00304A98" w:rsidRDefault="00304A98" w:rsidP="00D74EC8">
            <w:pPr>
              <w:rPr>
                <w:b/>
                <w:bCs/>
                <w:sz w:val="24"/>
                <w:szCs w:val="24"/>
              </w:rPr>
            </w:pPr>
            <w:r w:rsidRPr="00304A98">
              <w:rPr>
                <w:b/>
                <w:bCs/>
                <w:sz w:val="24"/>
                <w:szCs w:val="24"/>
              </w:rPr>
              <w:t>Category</w:t>
            </w:r>
          </w:p>
        </w:tc>
      </w:tr>
      <w:tr w:rsidR="007127F6" w14:paraId="2A777B42" w14:textId="77777777" w:rsidTr="00304A98">
        <w:tc>
          <w:tcPr>
            <w:tcW w:w="3888" w:type="dxa"/>
            <w:vAlign w:val="center"/>
          </w:tcPr>
          <w:p w14:paraId="200A3EF3" w14:textId="77777777" w:rsidR="007127F6" w:rsidRDefault="007127F6" w:rsidP="00D74EC8">
            <w:r>
              <w:t xml:space="preserve">GE </w:t>
            </w:r>
            <w:r w:rsidRPr="00511EDF">
              <w:t>Foundations</w:t>
            </w:r>
            <w:r>
              <w:t>:</w:t>
            </w:r>
            <w:r w:rsidRPr="00511EDF">
              <w:t xml:space="preserve"> Writing</w:t>
            </w:r>
            <w:r>
              <w:t xml:space="preserve"> Requirement</w:t>
            </w:r>
            <w:r w:rsidRPr="00511EDF">
              <w:t xml:space="preserve">; elimination of </w:t>
            </w:r>
            <w:r>
              <w:t>Mid-Career Writing Assessment (</w:t>
            </w:r>
            <w:r w:rsidRPr="00511EDF">
              <w:t>MCWA</w:t>
            </w:r>
            <w:r>
              <w:t>)</w:t>
            </w:r>
          </w:p>
        </w:tc>
        <w:tc>
          <w:tcPr>
            <w:tcW w:w="3240" w:type="dxa"/>
            <w:vAlign w:val="center"/>
          </w:tcPr>
          <w:p w14:paraId="441DAB79" w14:textId="77777777" w:rsidR="007127F6" w:rsidRDefault="00000000" w:rsidP="00D74EC8">
            <w:pPr>
              <w:pStyle w:val="ListParagraph"/>
              <w:numPr>
                <w:ilvl w:val="0"/>
                <w:numId w:val="1"/>
              </w:numPr>
            </w:pPr>
            <w:hyperlink r:id="rId7" w:anchor="writing-requirement1" w:tgtFrame="_blank" w:tooltip="https://catalog.arizona.edu/policy/program-graduation/general-education/foundations#writing-requirement1" w:history="1">
              <w:r w:rsidR="007127F6">
                <w:rPr>
                  <w:rStyle w:val="Hyperlink"/>
                </w:rPr>
                <w:t>Writing Requirement</w:t>
              </w:r>
            </w:hyperlink>
          </w:p>
          <w:p w14:paraId="41480777" w14:textId="77777777" w:rsidR="007127F6" w:rsidRDefault="00000000" w:rsidP="00D74EC8">
            <w:pPr>
              <w:pStyle w:val="ListParagraph"/>
              <w:numPr>
                <w:ilvl w:val="0"/>
                <w:numId w:val="1"/>
              </w:numPr>
            </w:pPr>
            <w:hyperlink r:id="rId8" w:history="1">
              <w:r w:rsidR="007127F6" w:rsidRPr="00C053F5">
                <w:rPr>
                  <w:rStyle w:val="Hyperlink"/>
                </w:rPr>
                <w:t>MCWA</w:t>
              </w:r>
            </w:hyperlink>
          </w:p>
        </w:tc>
        <w:tc>
          <w:tcPr>
            <w:tcW w:w="2222" w:type="dxa"/>
            <w:vAlign w:val="center"/>
          </w:tcPr>
          <w:p w14:paraId="03533727" w14:textId="77777777" w:rsidR="007127F6" w:rsidRDefault="007127F6" w:rsidP="00D74EC8">
            <w:r w:rsidRPr="00511EDF">
              <w:t>Gen Ed</w:t>
            </w:r>
          </w:p>
        </w:tc>
      </w:tr>
      <w:tr w:rsidR="00304A98" w14:paraId="5126BAC0" w14:textId="77777777" w:rsidTr="00304A98">
        <w:tc>
          <w:tcPr>
            <w:tcW w:w="3888" w:type="dxa"/>
            <w:shd w:val="clear" w:color="auto" w:fill="E2E9EB"/>
            <w:vAlign w:val="center"/>
          </w:tcPr>
          <w:p w14:paraId="44C04D46" w14:textId="77777777" w:rsidR="007127F6" w:rsidRDefault="007127F6" w:rsidP="00D74EC8">
            <w:r>
              <w:t xml:space="preserve">GE </w:t>
            </w:r>
            <w:r w:rsidRPr="00511EDF">
              <w:t>Foundations</w:t>
            </w:r>
            <w:r>
              <w:t>:</w:t>
            </w:r>
            <w:r w:rsidRPr="00511EDF">
              <w:t xml:space="preserve"> Second Language</w:t>
            </w:r>
            <w:r>
              <w:t xml:space="preserve"> Requirement for Undergraduate Degrees</w:t>
            </w:r>
          </w:p>
        </w:tc>
        <w:tc>
          <w:tcPr>
            <w:tcW w:w="3240" w:type="dxa"/>
            <w:shd w:val="clear" w:color="auto" w:fill="E2E9EB"/>
            <w:vAlign w:val="center"/>
          </w:tcPr>
          <w:p w14:paraId="20614D0D" w14:textId="69377421" w:rsidR="007127F6" w:rsidRDefault="00000000" w:rsidP="00D74EC8">
            <w:pPr>
              <w:pStyle w:val="ListParagraph"/>
              <w:numPr>
                <w:ilvl w:val="0"/>
                <w:numId w:val="7"/>
              </w:numPr>
            </w:pPr>
            <w:hyperlink r:id="rId9" w:anchor="second-language-requirement-for-undergraduate-degrees" w:tgtFrame="_blank" w:tooltip="https://catalog.arizona.edu/policy/program-graduation/general-education/foundations#second-language-requirement-for-undergraduate-degrees" w:history="1">
              <w:r w:rsidR="007127F6">
                <w:rPr>
                  <w:rStyle w:val="Hyperlink"/>
                </w:rPr>
                <w:t>Sec</w:t>
              </w:r>
              <w:r w:rsidR="007127F6">
                <w:rPr>
                  <w:rStyle w:val="Hyperlink"/>
                </w:rPr>
                <w:t>o</w:t>
              </w:r>
              <w:r w:rsidR="007127F6">
                <w:rPr>
                  <w:rStyle w:val="Hyperlink"/>
                </w:rPr>
                <w:t>nd Language Require</w:t>
              </w:r>
              <w:r w:rsidR="007127F6">
                <w:rPr>
                  <w:rStyle w:val="Hyperlink"/>
                </w:rPr>
                <w:t>m</w:t>
              </w:r>
              <w:r w:rsidR="007127F6">
                <w:rPr>
                  <w:rStyle w:val="Hyperlink"/>
                </w:rPr>
                <w:t>ent</w:t>
              </w:r>
            </w:hyperlink>
          </w:p>
        </w:tc>
        <w:tc>
          <w:tcPr>
            <w:tcW w:w="2222" w:type="dxa"/>
            <w:shd w:val="clear" w:color="auto" w:fill="E2E9EB"/>
            <w:vAlign w:val="center"/>
          </w:tcPr>
          <w:p w14:paraId="4FD59E4C" w14:textId="77777777" w:rsidR="007127F6" w:rsidRDefault="007127F6" w:rsidP="00D74EC8">
            <w:r w:rsidRPr="00511EDF">
              <w:t>Gen Ed</w:t>
            </w:r>
          </w:p>
        </w:tc>
      </w:tr>
      <w:tr w:rsidR="007127F6" w14:paraId="69E8A857" w14:textId="77777777" w:rsidTr="00304A98">
        <w:tc>
          <w:tcPr>
            <w:tcW w:w="3888" w:type="dxa"/>
            <w:vAlign w:val="center"/>
          </w:tcPr>
          <w:p w14:paraId="55D73C3A" w14:textId="77777777" w:rsidR="007127F6" w:rsidRDefault="007127F6" w:rsidP="00D74EC8">
            <w:r w:rsidRPr="00511EDF">
              <w:t>Repeating a Course &amp; Grade Replacement</w:t>
            </w:r>
          </w:p>
        </w:tc>
        <w:tc>
          <w:tcPr>
            <w:tcW w:w="3240" w:type="dxa"/>
            <w:vAlign w:val="center"/>
          </w:tcPr>
          <w:p w14:paraId="3D2E6D2A" w14:textId="49653AAF" w:rsidR="007127F6" w:rsidRDefault="00000000" w:rsidP="00D74EC8">
            <w:pPr>
              <w:pStyle w:val="ListParagraph"/>
              <w:numPr>
                <w:ilvl w:val="0"/>
                <w:numId w:val="7"/>
              </w:numPr>
            </w:pPr>
            <w:hyperlink r:id="rId10" w:tgtFrame="_blank" w:tooltip="https://catalog.arizona.edu/policy/courses-credit/grading/course-repeat" w:history="1">
              <w:r w:rsidR="000D7E25">
                <w:rPr>
                  <w:rStyle w:val="Hyperlink"/>
                </w:rPr>
                <w:t>Repeating a Course &amp; Grade Replacem</w:t>
              </w:r>
              <w:r w:rsidR="000D7E25">
                <w:rPr>
                  <w:rStyle w:val="Hyperlink"/>
                </w:rPr>
                <w:t>e</w:t>
              </w:r>
              <w:r w:rsidR="000D7E25">
                <w:rPr>
                  <w:rStyle w:val="Hyperlink"/>
                </w:rPr>
                <w:t>nt</w:t>
              </w:r>
            </w:hyperlink>
          </w:p>
        </w:tc>
        <w:tc>
          <w:tcPr>
            <w:tcW w:w="2222" w:type="dxa"/>
            <w:vAlign w:val="center"/>
          </w:tcPr>
          <w:p w14:paraId="391EB3E8" w14:textId="77777777" w:rsidR="007127F6" w:rsidRDefault="007127F6" w:rsidP="00D74EC8">
            <w:r w:rsidRPr="00511EDF">
              <w:t>Student Persistence</w:t>
            </w:r>
          </w:p>
        </w:tc>
      </w:tr>
      <w:tr w:rsidR="006E16E7" w14:paraId="6AD9248E" w14:textId="77777777" w:rsidTr="00304A98">
        <w:tc>
          <w:tcPr>
            <w:tcW w:w="3888" w:type="dxa"/>
            <w:shd w:val="clear" w:color="auto" w:fill="E2E9EB"/>
            <w:vAlign w:val="center"/>
          </w:tcPr>
          <w:p w14:paraId="1D8F0260" w14:textId="77777777" w:rsidR="007127F6" w:rsidRDefault="007127F6" w:rsidP="00D74EC8">
            <w:r w:rsidRPr="00511EDF">
              <w:t>Transfer Credit policies</w:t>
            </w:r>
            <w:r>
              <w:t xml:space="preserve">; elimination of </w:t>
            </w:r>
            <w:r w:rsidRPr="00511EDF">
              <w:t>Credits from Community Colleges</w:t>
            </w:r>
          </w:p>
        </w:tc>
        <w:tc>
          <w:tcPr>
            <w:tcW w:w="3240" w:type="dxa"/>
            <w:shd w:val="clear" w:color="auto" w:fill="E2E9EB"/>
            <w:vAlign w:val="center"/>
          </w:tcPr>
          <w:p w14:paraId="125ADE84" w14:textId="77777777" w:rsidR="007127F6" w:rsidRDefault="00000000" w:rsidP="00D74EC8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="007127F6" w:rsidRPr="00C053F5">
                <w:rPr>
                  <w:rStyle w:val="Hyperlink"/>
                </w:rPr>
                <w:t>Grad T</w:t>
              </w:r>
              <w:r w:rsidR="007127F6" w:rsidRPr="00C053F5">
                <w:rPr>
                  <w:rStyle w:val="Hyperlink"/>
                </w:rPr>
                <w:t>r</w:t>
              </w:r>
              <w:r w:rsidR="007127F6" w:rsidRPr="00C053F5">
                <w:rPr>
                  <w:rStyle w:val="Hyperlink"/>
                </w:rPr>
                <w:t>ansfer Credit</w:t>
              </w:r>
            </w:hyperlink>
          </w:p>
          <w:p w14:paraId="431725ED" w14:textId="77777777" w:rsidR="007127F6" w:rsidRDefault="00000000" w:rsidP="00D74EC8">
            <w:pPr>
              <w:pStyle w:val="ListParagraph"/>
              <w:numPr>
                <w:ilvl w:val="0"/>
                <w:numId w:val="2"/>
              </w:numPr>
            </w:pPr>
            <w:hyperlink r:id="rId12" w:history="1">
              <w:r w:rsidR="007127F6" w:rsidRPr="00C053F5">
                <w:rPr>
                  <w:rStyle w:val="Hyperlink"/>
                </w:rPr>
                <w:t>Undergra</w:t>
              </w:r>
              <w:r w:rsidR="007127F6" w:rsidRPr="00C053F5">
                <w:rPr>
                  <w:rStyle w:val="Hyperlink"/>
                </w:rPr>
                <w:t>d</w:t>
              </w:r>
              <w:r w:rsidR="007127F6" w:rsidRPr="00C053F5">
                <w:rPr>
                  <w:rStyle w:val="Hyperlink"/>
                </w:rPr>
                <w:t xml:space="preserve"> Transfer Credit</w:t>
              </w:r>
            </w:hyperlink>
          </w:p>
          <w:p w14:paraId="6A16C2DF" w14:textId="77777777" w:rsidR="007127F6" w:rsidRDefault="00000000" w:rsidP="00D74EC8">
            <w:pPr>
              <w:pStyle w:val="ListParagraph"/>
              <w:numPr>
                <w:ilvl w:val="0"/>
                <w:numId w:val="2"/>
              </w:numPr>
            </w:pPr>
            <w:hyperlink r:id="rId13" w:history="1">
              <w:r w:rsidR="007127F6" w:rsidRPr="00B852F5">
                <w:rPr>
                  <w:rStyle w:val="Hyperlink"/>
                </w:rPr>
                <w:t>CC Transfer G</w:t>
              </w:r>
              <w:r w:rsidR="007127F6" w:rsidRPr="00B852F5">
                <w:rPr>
                  <w:rStyle w:val="Hyperlink"/>
                </w:rPr>
                <w:t>u</w:t>
              </w:r>
              <w:r w:rsidR="007127F6" w:rsidRPr="00B852F5">
                <w:rPr>
                  <w:rStyle w:val="Hyperlink"/>
                </w:rPr>
                <w:t>ides</w:t>
              </w:r>
            </w:hyperlink>
          </w:p>
          <w:p w14:paraId="063ED3AF" w14:textId="77777777" w:rsidR="007127F6" w:rsidRDefault="00000000" w:rsidP="00D74EC8">
            <w:pPr>
              <w:pStyle w:val="ListParagraph"/>
              <w:numPr>
                <w:ilvl w:val="0"/>
                <w:numId w:val="2"/>
              </w:numPr>
            </w:pPr>
            <w:hyperlink r:id="rId14" w:history="1">
              <w:r w:rsidR="007127F6" w:rsidRPr="00B852F5">
                <w:rPr>
                  <w:rStyle w:val="Hyperlink"/>
                </w:rPr>
                <w:t>GE Transf</w:t>
              </w:r>
              <w:r w:rsidR="007127F6" w:rsidRPr="00B852F5">
                <w:rPr>
                  <w:rStyle w:val="Hyperlink"/>
                </w:rPr>
                <w:t>e</w:t>
              </w:r>
              <w:r w:rsidR="007127F6" w:rsidRPr="00B852F5">
                <w:rPr>
                  <w:rStyle w:val="Hyperlink"/>
                </w:rPr>
                <w:t>r Credit</w:t>
              </w:r>
            </w:hyperlink>
          </w:p>
          <w:p w14:paraId="334B9EEA" w14:textId="77777777" w:rsidR="007127F6" w:rsidRDefault="00000000" w:rsidP="00D74EC8">
            <w:pPr>
              <w:pStyle w:val="ListParagraph"/>
              <w:numPr>
                <w:ilvl w:val="0"/>
                <w:numId w:val="2"/>
              </w:numPr>
            </w:pPr>
            <w:hyperlink r:id="rId15" w:history="1">
              <w:r w:rsidR="007127F6" w:rsidRPr="00B852F5">
                <w:rPr>
                  <w:rStyle w:val="Hyperlink"/>
                </w:rPr>
                <w:t>Non-Region</w:t>
              </w:r>
              <w:r w:rsidR="007127F6" w:rsidRPr="00B852F5">
                <w:rPr>
                  <w:rStyle w:val="Hyperlink"/>
                </w:rPr>
                <w:t>a</w:t>
              </w:r>
              <w:r w:rsidR="007127F6" w:rsidRPr="00B852F5">
                <w:rPr>
                  <w:rStyle w:val="Hyperlink"/>
                </w:rPr>
                <w:t>lly Accredited Transfer Credit</w:t>
              </w:r>
            </w:hyperlink>
          </w:p>
          <w:p w14:paraId="718770EB" w14:textId="77777777" w:rsidR="006E16E7" w:rsidRDefault="00000000" w:rsidP="00D74EC8">
            <w:pPr>
              <w:pStyle w:val="ListParagraph"/>
              <w:numPr>
                <w:ilvl w:val="0"/>
                <w:numId w:val="2"/>
              </w:numPr>
            </w:pPr>
            <w:hyperlink r:id="rId16" w:history="1">
              <w:r w:rsidR="007127F6" w:rsidRPr="00B852F5">
                <w:rPr>
                  <w:rStyle w:val="Hyperlink"/>
                </w:rPr>
                <w:t xml:space="preserve">Averaging of </w:t>
              </w:r>
              <w:r w:rsidR="007127F6" w:rsidRPr="00B852F5">
                <w:rPr>
                  <w:rStyle w:val="Hyperlink"/>
                </w:rPr>
                <w:t>G</w:t>
              </w:r>
              <w:r w:rsidR="007127F6" w:rsidRPr="00B852F5">
                <w:rPr>
                  <w:rStyle w:val="Hyperlink"/>
                </w:rPr>
                <w:t>rade for Final Non-University Credit Course</w:t>
              </w:r>
            </w:hyperlink>
          </w:p>
          <w:p w14:paraId="150E5E3B" w14:textId="145DE784" w:rsidR="007127F6" w:rsidRDefault="00000000" w:rsidP="00D74EC8">
            <w:pPr>
              <w:pStyle w:val="ListParagraph"/>
              <w:numPr>
                <w:ilvl w:val="0"/>
                <w:numId w:val="2"/>
              </w:numPr>
            </w:pPr>
            <w:hyperlink r:id="rId17" w:tgtFrame="_blank" w:tooltip="https://catalog.arizona.edu/policy/courses-credit/credit/community-college-transfer" w:history="1">
              <w:r w:rsidR="007127F6">
                <w:rPr>
                  <w:rStyle w:val="Hyperlink"/>
                </w:rPr>
                <w:t>Credits f</w:t>
              </w:r>
              <w:r w:rsidR="007127F6">
                <w:rPr>
                  <w:rStyle w:val="Hyperlink"/>
                </w:rPr>
                <w:t>r</w:t>
              </w:r>
              <w:r w:rsidR="007127F6">
                <w:rPr>
                  <w:rStyle w:val="Hyperlink"/>
                </w:rPr>
                <w:t>om CCs</w:t>
              </w:r>
            </w:hyperlink>
          </w:p>
        </w:tc>
        <w:tc>
          <w:tcPr>
            <w:tcW w:w="2222" w:type="dxa"/>
            <w:shd w:val="clear" w:color="auto" w:fill="E2E9EB"/>
            <w:vAlign w:val="center"/>
          </w:tcPr>
          <w:p w14:paraId="6341B567" w14:textId="77777777" w:rsidR="007127F6" w:rsidRDefault="007127F6" w:rsidP="00D74EC8">
            <w:r w:rsidRPr="00511EDF">
              <w:t>Transfer</w:t>
            </w:r>
          </w:p>
        </w:tc>
      </w:tr>
      <w:tr w:rsidR="007127F6" w14:paraId="4CB3F0FD" w14:textId="77777777" w:rsidTr="00304A98">
        <w:tc>
          <w:tcPr>
            <w:tcW w:w="3888" w:type="dxa"/>
            <w:vAlign w:val="center"/>
          </w:tcPr>
          <w:p w14:paraId="275C4A42" w14:textId="77777777" w:rsidR="007127F6" w:rsidRDefault="007127F6" w:rsidP="00D74EC8">
            <w:r w:rsidRPr="00511EDF">
              <w:t>Course Types</w:t>
            </w:r>
          </w:p>
        </w:tc>
        <w:tc>
          <w:tcPr>
            <w:tcW w:w="3240" w:type="dxa"/>
            <w:vAlign w:val="center"/>
          </w:tcPr>
          <w:p w14:paraId="1A998465" w14:textId="77777777" w:rsidR="007127F6" w:rsidRDefault="00000000" w:rsidP="00D74EC8">
            <w:pPr>
              <w:pStyle w:val="ListParagraph"/>
              <w:numPr>
                <w:ilvl w:val="0"/>
                <w:numId w:val="8"/>
              </w:numPr>
            </w:pPr>
            <w:hyperlink r:id="rId18" w:tgtFrame="_blank" w:tooltip="https://catalog.arizona.edu/policy/courses-credit/courses/course-types-components" w:history="1">
              <w:r w:rsidR="007127F6">
                <w:rPr>
                  <w:rStyle w:val="Hyperlink"/>
                </w:rPr>
                <w:t>Cour</w:t>
              </w:r>
              <w:r w:rsidR="007127F6">
                <w:rPr>
                  <w:rStyle w:val="Hyperlink"/>
                </w:rPr>
                <w:t>s</w:t>
              </w:r>
              <w:r w:rsidR="007127F6">
                <w:rPr>
                  <w:rStyle w:val="Hyperlink"/>
                </w:rPr>
                <w:t>e Types/ Components</w:t>
              </w:r>
            </w:hyperlink>
          </w:p>
        </w:tc>
        <w:tc>
          <w:tcPr>
            <w:tcW w:w="2222" w:type="dxa"/>
            <w:vAlign w:val="center"/>
          </w:tcPr>
          <w:p w14:paraId="0E78D5EF" w14:textId="77777777" w:rsidR="007127F6" w:rsidRDefault="007127F6" w:rsidP="00D74EC8">
            <w:r w:rsidRPr="00511EDF">
              <w:t>Academic Operations</w:t>
            </w:r>
          </w:p>
        </w:tc>
      </w:tr>
      <w:tr w:rsidR="00304A98" w14:paraId="4FC8899E" w14:textId="77777777" w:rsidTr="00304A98">
        <w:tc>
          <w:tcPr>
            <w:tcW w:w="3888" w:type="dxa"/>
            <w:shd w:val="clear" w:color="auto" w:fill="E2E9EB"/>
            <w:vAlign w:val="center"/>
          </w:tcPr>
          <w:p w14:paraId="2E30F879" w14:textId="77777777" w:rsidR="007127F6" w:rsidRDefault="007127F6" w:rsidP="00D74EC8">
            <w:r w:rsidRPr="00511EDF">
              <w:t xml:space="preserve">Bachelor's Degree </w:t>
            </w:r>
            <w:r>
              <w:t>Requirements, Multiple Majors and Degrees</w:t>
            </w:r>
            <w:r w:rsidRPr="00511EDF">
              <w:t>; Units in Residence; Change of Major</w:t>
            </w:r>
          </w:p>
        </w:tc>
        <w:tc>
          <w:tcPr>
            <w:tcW w:w="3240" w:type="dxa"/>
            <w:shd w:val="clear" w:color="auto" w:fill="E2E9EB"/>
            <w:vAlign w:val="center"/>
          </w:tcPr>
          <w:p w14:paraId="27B8F647" w14:textId="77777777" w:rsidR="007127F6" w:rsidRDefault="00000000" w:rsidP="00D74EC8">
            <w:pPr>
              <w:pStyle w:val="ListParagraph"/>
              <w:numPr>
                <w:ilvl w:val="0"/>
                <w:numId w:val="3"/>
              </w:numPr>
            </w:pPr>
            <w:hyperlink r:id="rId19" w:tgtFrame="_blank" w:tooltip="https://catalog.arizona.edu/policy/program-graduation/degrees-programs/undergraduate/bachelors-degree-candidacy" w:history="1">
              <w:r w:rsidR="007127F6">
                <w:rPr>
                  <w:rStyle w:val="Hyperlink"/>
                </w:rPr>
                <w:t>BA D</w:t>
              </w:r>
              <w:r w:rsidR="007127F6">
                <w:rPr>
                  <w:rStyle w:val="Hyperlink"/>
                </w:rPr>
                <w:t>e</w:t>
              </w:r>
              <w:r w:rsidR="007127F6">
                <w:rPr>
                  <w:rStyle w:val="Hyperlink"/>
                </w:rPr>
                <w:t>gree Candidacy</w:t>
              </w:r>
            </w:hyperlink>
          </w:p>
          <w:p w14:paraId="7DCCBDBB" w14:textId="77777777" w:rsidR="007127F6" w:rsidRDefault="00000000" w:rsidP="00D74EC8">
            <w:pPr>
              <w:pStyle w:val="ListParagraph"/>
              <w:numPr>
                <w:ilvl w:val="0"/>
                <w:numId w:val="3"/>
              </w:numPr>
            </w:pPr>
            <w:hyperlink r:id="rId20" w:history="1">
              <w:r w:rsidR="007127F6" w:rsidRPr="00B852F5">
                <w:rPr>
                  <w:rStyle w:val="Hyperlink"/>
                </w:rPr>
                <w:t>Units in Reside</w:t>
              </w:r>
              <w:r w:rsidR="007127F6" w:rsidRPr="00B852F5">
                <w:rPr>
                  <w:rStyle w:val="Hyperlink"/>
                </w:rPr>
                <w:t>n</w:t>
              </w:r>
              <w:r w:rsidR="007127F6" w:rsidRPr="00B852F5">
                <w:rPr>
                  <w:rStyle w:val="Hyperlink"/>
                </w:rPr>
                <w:t>ce</w:t>
              </w:r>
            </w:hyperlink>
          </w:p>
          <w:p w14:paraId="3297BB20" w14:textId="77777777" w:rsidR="007127F6" w:rsidRDefault="00000000" w:rsidP="00D74EC8">
            <w:pPr>
              <w:pStyle w:val="ListParagraph"/>
              <w:numPr>
                <w:ilvl w:val="0"/>
                <w:numId w:val="3"/>
              </w:numPr>
            </w:pPr>
            <w:hyperlink r:id="rId21" w:history="1">
              <w:r w:rsidR="007127F6" w:rsidRPr="00B852F5">
                <w:rPr>
                  <w:rStyle w:val="Hyperlink"/>
                </w:rPr>
                <w:t>Change of M</w:t>
              </w:r>
              <w:r w:rsidR="007127F6" w:rsidRPr="00B852F5">
                <w:rPr>
                  <w:rStyle w:val="Hyperlink"/>
                </w:rPr>
                <w:t>a</w:t>
              </w:r>
              <w:r w:rsidR="007127F6" w:rsidRPr="00B852F5">
                <w:rPr>
                  <w:rStyle w:val="Hyperlink"/>
                </w:rPr>
                <w:t>jor/ College</w:t>
              </w:r>
            </w:hyperlink>
          </w:p>
          <w:p w14:paraId="01F28EC6" w14:textId="77777777" w:rsidR="007127F6" w:rsidRDefault="007127F6" w:rsidP="00D74EC8"/>
        </w:tc>
        <w:tc>
          <w:tcPr>
            <w:tcW w:w="2222" w:type="dxa"/>
            <w:shd w:val="clear" w:color="auto" w:fill="E2E9EB"/>
            <w:vAlign w:val="center"/>
          </w:tcPr>
          <w:p w14:paraId="515BF4BB" w14:textId="77777777" w:rsidR="007127F6" w:rsidRDefault="007127F6" w:rsidP="00D74EC8">
            <w:r w:rsidRPr="00511EDF">
              <w:t>Student Persistence</w:t>
            </w:r>
          </w:p>
        </w:tc>
      </w:tr>
      <w:tr w:rsidR="007127F6" w14:paraId="55525A60" w14:textId="77777777" w:rsidTr="00304A98">
        <w:tc>
          <w:tcPr>
            <w:tcW w:w="3888" w:type="dxa"/>
            <w:vAlign w:val="center"/>
          </w:tcPr>
          <w:p w14:paraId="5B546184" w14:textId="77777777" w:rsidR="007127F6" w:rsidRDefault="007127F6" w:rsidP="00D74EC8">
            <w:r w:rsidRPr="00511EDF">
              <w:t>Undergraduate Certificates</w:t>
            </w:r>
          </w:p>
        </w:tc>
        <w:tc>
          <w:tcPr>
            <w:tcW w:w="3240" w:type="dxa"/>
            <w:vAlign w:val="center"/>
          </w:tcPr>
          <w:p w14:paraId="4F2DED1A" w14:textId="77777777" w:rsidR="007127F6" w:rsidRDefault="00000000" w:rsidP="00D74EC8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7127F6" w:rsidRPr="00B852F5">
                <w:rPr>
                  <w:rStyle w:val="Hyperlink"/>
                </w:rPr>
                <w:t>Undergrad C</w:t>
              </w:r>
              <w:r w:rsidR="007127F6" w:rsidRPr="00B852F5">
                <w:rPr>
                  <w:rStyle w:val="Hyperlink"/>
                </w:rPr>
                <w:t>e</w:t>
              </w:r>
              <w:r w:rsidR="007127F6" w:rsidRPr="00B852F5">
                <w:rPr>
                  <w:rStyle w:val="Hyperlink"/>
                </w:rPr>
                <w:t>rtificates</w:t>
              </w:r>
            </w:hyperlink>
          </w:p>
        </w:tc>
        <w:tc>
          <w:tcPr>
            <w:tcW w:w="2222" w:type="dxa"/>
            <w:vAlign w:val="center"/>
          </w:tcPr>
          <w:p w14:paraId="2FEDEAB8" w14:textId="731EF5E4" w:rsidR="007127F6" w:rsidRDefault="007127F6" w:rsidP="00D74EC8">
            <w:r w:rsidRPr="00511EDF">
              <w:rPr>
                <w:color w:val="ED0000"/>
              </w:rPr>
              <w:t> </w:t>
            </w:r>
            <w:r w:rsidR="006E16E7" w:rsidRPr="006E16E7">
              <w:t>S</w:t>
            </w:r>
            <w:r w:rsidR="006E16E7" w:rsidRPr="00511EDF">
              <w:t>tudent Persistence</w:t>
            </w:r>
          </w:p>
        </w:tc>
      </w:tr>
      <w:tr w:rsidR="00304A98" w14:paraId="69A8FD3D" w14:textId="77777777" w:rsidTr="00304A98">
        <w:tc>
          <w:tcPr>
            <w:tcW w:w="3888" w:type="dxa"/>
            <w:shd w:val="clear" w:color="auto" w:fill="E2E9EB"/>
            <w:vAlign w:val="center"/>
          </w:tcPr>
          <w:p w14:paraId="5362044B" w14:textId="77777777" w:rsidR="007127F6" w:rsidRDefault="007127F6" w:rsidP="00D74EC8">
            <w:r w:rsidRPr="00511EDF">
              <w:t>Undergraduate Academic Petitions; Retroactive and Medical Withdrawal</w:t>
            </w:r>
          </w:p>
        </w:tc>
        <w:tc>
          <w:tcPr>
            <w:tcW w:w="3240" w:type="dxa"/>
            <w:shd w:val="clear" w:color="auto" w:fill="E2E9EB"/>
            <w:vAlign w:val="center"/>
          </w:tcPr>
          <w:p w14:paraId="724B8EE7" w14:textId="77777777" w:rsidR="007127F6" w:rsidRDefault="00000000" w:rsidP="00D74EC8">
            <w:pPr>
              <w:pStyle w:val="ListParagraph"/>
              <w:numPr>
                <w:ilvl w:val="0"/>
                <w:numId w:val="4"/>
              </w:numPr>
            </w:pPr>
            <w:hyperlink r:id="rId23" w:tgtFrame="_blank" w:tooltip="https://catalog.arizona.edu/policy/general-academic-policies/rights-records/petitions" w:history="1">
              <w:r w:rsidR="007127F6">
                <w:rPr>
                  <w:rStyle w:val="Hyperlink"/>
                </w:rPr>
                <w:t>Academic Petiti</w:t>
              </w:r>
              <w:r w:rsidR="007127F6">
                <w:rPr>
                  <w:rStyle w:val="Hyperlink"/>
                </w:rPr>
                <w:t>o</w:t>
              </w:r>
              <w:r w:rsidR="007127F6">
                <w:rPr>
                  <w:rStyle w:val="Hyperlink"/>
                </w:rPr>
                <w:t>ns</w:t>
              </w:r>
            </w:hyperlink>
          </w:p>
          <w:p w14:paraId="57B63611" w14:textId="77777777" w:rsidR="007127F6" w:rsidRDefault="00000000" w:rsidP="00D74EC8">
            <w:pPr>
              <w:pStyle w:val="ListParagraph"/>
              <w:numPr>
                <w:ilvl w:val="0"/>
                <w:numId w:val="4"/>
              </w:numPr>
            </w:pPr>
            <w:hyperlink r:id="rId24" w:history="1">
              <w:r w:rsidR="007127F6" w:rsidRPr="00B852F5">
                <w:rPr>
                  <w:rStyle w:val="Hyperlink"/>
                </w:rPr>
                <w:t>Leaving the U</w:t>
              </w:r>
              <w:r w:rsidR="007127F6" w:rsidRPr="00B852F5">
                <w:rPr>
                  <w:rStyle w:val="Hyperlink"/>
                </w:rPr>
                <w:t>n</w:t>
              </w:r>
              <w:r w:rsidR="007127F6" w:rsidRPr="00B852F5">
                <w:rPr>
                  <w:rStyle w:val="Hyperlink"/>
                </w:rPr>
                <w:t>iversity</w:t>
              </w:r>
            </w:hyperlink>
          </w:p>
        </w:tc>
        <w:tc>
          <w:tcPr>
            <w:tcW w:w="2222" w:type="dxa"/>
            <w:shd w:val="clear" w:color="auto" w:fill="E2E9EB"/>
            <w:vAlign w:val="center"/>
          </w:tcPr>
          <w:p w14:paraId="044517A6" w14:textId="77777777" w:rsidR="007127F6" w:rsidRDefault="007127F6" w:rsidP="00D74EC8">
            <w:r w:rsidRPr="00511EDF">
              <w:t>Student Persistence</w:t>
            </w:r>
          </w:p>
        </w:tc>
      </w:tr>
      <w:tr w:rsidR="007127F6" w14:paraId="57941632" w14:textId="77777777" w:rsidTr="00304A98">
        <w:tc>
          <w:tcPr>
            <w:tcW w:w="3888" w:type="dxa"/>
            <w:vAlign w:val="center"/>
          </w:tcPr>
          <w:p w14:paraId="1308075F" w14:textId="77777777" w:rsidR="007127F6" w:rsidRDefault="007127F6" w:rsidP="00D74EC8">
            <w:r w:rsidRPr="00511EDF">
              <w:t>Defining Professional vs. Graduate programs</w:t>
            </w:r>
          </w:p>
        </w:tc>
        <w:tc>
          <w:tcPr>
            <w:tcW w:w="3240" w:type="dxa"/>
            <w:vAlign w:val="center"/>
          </w:tcPr>
          <w:p w14:paraId="360F84CE" w14:textId="77777777" w:rsidR="007127F6" w:rsidRDefault="007127F6" w:rsidP="00D74EC8">
            <w:r w:rsidRPr="00511EDF">
              <w:t>New</w:t>
            </w:r>
          </w:p>
        </w:tc>
        <w:tc>
          <w:tcPr>
            <w:tcW w:w="2222" w:type="dxa"/>
            <w:vAlign w:val="center"/>
          </w:tcPr>
          <w:p w14:paraId="0C669CA5" w14:textId="77777777" w:rsidR="007127F6" w:rsidRDefault="007127F6" w:rsidP="00D74EC8">
            <w:r w:rsidRPr="00511EDF">
              <w:t>Academic Operations</w:t>
            </w:r>
          </w:p>
        </w:tc>
      </w:tr>
      <w:tr w:rsidR="007127F6" w14:paraId="0452EF44" w14:textId="77777777" w:rsidTr="00304A98">
        <w:tc>
          <w:tcPr>
            <w:tcW w:w="3888" w:type="dxa"/>
            <w:shd w:val="clear" w:color="auto" w:fill="E2E9EB"/>
            <w:vAlign w:val="center"/>
          </w:tcPr>
          <w:p w14:paraId="6724551A" w14:textId="77777777" w:rsidR="007127F6" w:rsidRDefault="007127F6" w:rsidP="00D74EC8">
            <w:r w:rsidRPr="00511EDF">
              <w:t>Syllabus Templates</w:t>
            </w:r>
          </w:p>
        </w:tc>
        <w:tc>
          <w:tcPr>
            <w:tcW w:w="3240" w:type="dxa"/>
            <w:shd w:val="clear" w:color="auto" w:fill="E2E9EB"/>
            <w:vAlign w:val="center"/>
          </w:tcPr>
          <w:p w14:paraId="77E1B795" w14:textId="77777777" w:rsidR="007127F6" w:rsidRDefault="00000000" w:rsidP="00D74EC8">
            <w:pPr>
              <w:pStyle w:val="ListParagraph"/>
              <w:numPr>
                <w:ilvl w:val="0"/>
                <w:numId w:val="10"/>
              </w:numPr>
            </w:pPr>
            <w:hyperlink r:id="rId25" w:tgtFrame="_blank" w:tooltip="https://policy.arizona.edu/faculty-affairs-and-academics/course-syllabus-policy-undergraduate-template" w:history="1">
              <w:r w:rsidR="007127F6" w:rsidRPr="00511EDF">
                <w:rPr>
                  <w:rStyle w:val="Hyperlink"/>
                </w:rPr>
                <w:t>Sylla</w:t>
              </w:r>
              <w:r w:rsidR="007127F6" w:rsidRPr="00511EDF">
                <w:rPr>
                  <w:rStyle w:val="Hyperlink"/>
                </w:rPr>
                <w:t>b</w:t>
              </w:r>
              <w:r w:rsidR="007127F6" w:rsidRPr="00511EDF">
                <w:rPr>
                  <w:rStyle w:val="Hyperlink"/>
                </w:rPr>
                <w:t>us Templates</w:t>
              </w:r>
            </w:hyperlink>
          </w:p>
        </w:tc>
        <w:tc>
          <w:tcPr>
            <w:tcW w:w="2222" w:type="dxa"/>
            <w:shd w:val="clear" w:color="auto" w:fill="E2E9EB"/>
            <w:vAlign w:val="center"/>
          </w:tcPr>
          <w:p w14:paraId="294CD9F9" w14:textId="77777777" w:rsidR="007127F6" w:rsidRDefault="007127F6" w:rsidP="00D74EC8">
            <w:r w:rsidRPr="00511EDF">
              <w:t>Academic Operations</w:t>
            </w:r>
          </w:p>
        </w:tc>
      </w:tr>
      <w:tr w:rsidR="007127F6" w14:paraId="0C209A6E" w14:textId="77777777" w:rsidTr="00304A98">
        <w:tc>
          <w:tcPr>
            <w:tcW w:w="3888" w:type="dxa"/>
            <w:vAlign w:val="center"/>
          </w:tcPr>
          <w:p w14:paraId="7CB1B3F4" w14:textId="77777777" w:rsidR="007127F6" w:rsidRDefault="007127F6" w:rsidP="00D74EC8">
            <w:r w:rsidRPr="00511EDF">
              <w:t>General Education: Attributes &amp; General Education: Curriculum</w:t>
            </w:r>
          </w:p>
        </w:tc>
        <w:tc>
          <w:tcPr>
            <w:tcW w:w="3240" w:type="dxa"/>
            <w:vAlign w:val="center"/>
          </w:tcPr>
          <w:p w14:paraId="485196F2" w14:textId="77777777" w:rsidR="007127F6" w:rsidRDefault="00000000" w:rsidP="00D74EC8">
            <w:pPr>
              <w:pStyle w:val="ListParagraph"/>
              <w:numPr>
                <w:ilvl w:val="0"/>
                <w:numId w:val="5"/>
              </w:numPr>
            </w:pPr>
            <w:hyperlink r:id="rId26" w:tgtFrame="_blank" w:tooltip="https://catalog.arizona.edu/policy/program-graduation/general-education/attributes" w:history="1">
              <w:r w:rsidR="007127F6">
                <w:rPr>
                  <w:rStyle w:val="Hyperlink"/>
                </w:rPr>
                <w:t>GE Attrib</w:t>
              </w:r>
              <w:r w:rsidR="007127F6">
                <w:rPr>
                  <w:rStyle w:val="Hyperlink"/>
                </w:rPr>
                <w:t>u</w:t>
              </w:r>
              <w:r w:rsidR="007127F6">
                <w:rPr>
                  <w:rStyle w:val="Hyperlink"/>
                </w:rPr>
                <w:t>tes</w:t>
              </w:r>
            </w:hyperlink>
          </w:p>
          <w:p w14:paraId="7D188CC4" w14:textId="77777777" w:rsidR="007127F6" w:rsidRDefault="00000000" w:rsidP="00D74EC8">
            <w:pPr>
              <w:pStyle w:val="ListParagraph"/>
              <w:numPr>
                <w:ilvl w:val="0"/>
                <w:numId w:val="5"/>
              </w:numPr>
            </w:pPr>
            <w:hyperlink r:id="rId27" w:history="1">
              <w:r w:rsidR="007127F6" w:rsidRPr="00E2708F">
                <w:rPr>
                  <w:rStyle w:val="Hyperlink"/>
                </w:rPr>
                <w:t>GE Curri</w:t>
              </w:r>
              <w:r w:rsidR="007127F6" w:rsidRPr="00E2708F">
                <w:rPr>
                  <w:rStyle w:val="Hyperlink"/>
                </w:rPr>
                <w:t>c</w:t>
              </w:r>
              <w:r w:rsidR="007127F6" w:rsidRPr="00E2708F">
                <w:rPr>
                  <w:rStyle w:val="Hyperlink"/>
                </w:rPr>
                <w:t>ulum</w:t>
              </w:r>
            </w:hyperlink>
          </w:p>
        </w:tc>
        <w:tc>
          <w:tcPr>
            <w:tcW w:w="2222" w:type="dxa"/>
            <w:vAlign w:val="center"/>
          </w:tcPr>
          <w:p w14:paraId="31DD26A7" w14:textId="77777777" w:rsidR="007127F6" w:rsidRDefault="007127F6" w:rsidP="00D74EC8">
            <w:r w:rsidRPr="00511EDF">
              <w:t>Gen Ed</w:t>
            </w:r>
          </w:p>
        </w:tc>
      </w:tr>
      <w:tr w:rsidR="007127F6" w14:paraId="7E179DF0" w14:textId="77777777" w:rsidTr="00304A98">
        <w:tc>
          <w:tcPr>
            <w:tcW w:w="3888" w:type="dxa"/>
            <w:shd w:val="clear" w:color="auto" w:fill="E2E9EB"/>
            <w:vAlign w:val="center"/>
          </w:tcPr>
          <w:p w14:paraId="59D1258E" w14:textId="77777777" w:rsidR="007127F6" w:rsidRDefault="007127F6" w:rsidP="00D74EC8">
            <w:r w:rsidRPr="00511EDF">
              <w:t>Defining Developmental courses</w:t>
            </w:r>
          </w:p>
        </w:tc>
        <w:tc>
          <w:tcPr>
            <w:tcW w:w="3240" w:type="dxa"/>
            <w:shd w:val="clear" w:color="auto" w:fill="E2E9EB"/>
            <w:vAlign w:val="center"/>
          </w:tcPr>
          <w:p w14:paraId="479AB03F" w14:textId="77777777" w:rsidR="007127F6" w:rsidRDefault="007127F6" w:rsidP="00D74EC8">
            <w:r w:rsidRPr="00511EDF">
              <w:t> </w:t>
            </w:r>
            <w:r>
              <w:t>New</w:t>
            </w:r>
          </w:p>
        </w:tc>
        <w:tc>
          <w:tcPr>
            <w:tcW w:w="2222" w:type="dxa"/>
            <w:shd w:val="clear" w:color="auto" w:fill="E2E9EB"/>
            <w:vAlign w:val="center"/>
          </w:tcPr>
          <w:p w14:paraId="14683DCD" w14:textId="77777777" w:rsidR="007127F6" w:rsidRDefault="007127F6" w:rsidP="00D74EC8">
            <w:r w:rsidRPr="00511EDF">
              <w:t>Academic Operations</w:t>
            </w:r>
          </w:p>
        </w:tc>
      </w:tr>
      <w:tr w:rsidR="007127F6" w14:paraId="66575604" w14:textId="77777777" w:rsidTr="00304A98">
        <w:tc>
          <w:tcPr>
            <w:tcW w:w="3888" w:type="dxa"/>
            <w:vAlign w:val="center"/>
          </w:tcPr>
          <w:p w14:paraId="6B12F06E" w14:textId="77777777" w:rsidR="007127F6" w:rsidRDefault="007127F6" w:rsidP="00D74EC8">
            <w:r>
              <w:t xml:space="preserve">GE </w:t>
            </w:r>
            <w:r w:rsidRPr="00511EDF">
              <w:t>Foundations</w:t>
            </w:r>
            <w:r>
              <w:t>:</w:t>
            </w:r>
            <w:r w:rsidRPr="00511EDF">
              <w:t xml:space="preserve"> Math</w:t>
            </w:r>
            <w:r>
              <w:t>ematics Requirements</w:t>
            </w:r>
          </w:p>
        </w:tc>
        <w:tc>
          <w:tcPr>
            <w:tcW w:w="3240" w:type="dxa"/>
            <w:vAlign w:val="center"/>
          </w:tcPr>
          <w:p w14:paraId="509E89B2" w14:textId="6B83EADD" w:rsidR="007127F6" w:rsidRDefault="00000000" w:rsidP="00D74EC8">
            <w:pPr>
              <w:pStyle w:val="ListParagraph"/>
              <w:numPr>
                <w:ilvl w:val="0"/>
                <w:numId w:val="5"/>
              </w:numPr>
            </w:pPr>
            <w:hyperlink r:id="rId28" w:anchor="mathematics-requirements" w:tgtFrame="_blank" w:tooltip="https://catalog.arizona.edu/policy/program-graduation/general-education/foundations" w:history="1">
              <w:r w:rsidR="007127F6">
                <w:rPr>
                  <w:rStyle w:val="Hyperlink"/>
                </w:rPr>
                <w:t>Math Requ</w:t>
              </w:r>
              <w:r w:rsidR="007127F6">
                <w:rPr>
                  <w:rStyle w:val="Hyperlink"/>
                </w:rPr>
                <w:t>i</w:t>
              </w:r>
              <w:r w:rsidR="007127F6">
                <w:rPr>
                  <w:rStyle w:val="Hyperlink"/>
                </w:rPr>
                <w:t>re</w:t>
              </w:r>
              <w:r w:rsidR="007127F6">
                <w:rPr>
                  <w:rStyle w:val="Hyperlink"/>
                </w:rPr>
                <w:t>m</w:t>
              </w:r>
              <w:r w:rsidR="007127F6">
                <w:rPr>
                  <w:rStyle w:val="Hyperlink"/>
                </w:rPr>
                <w:t>ents</w:t>
              </w:r>
            </w:hyperlink>
          </w:p>
        </w:tc>
        <w:tc>
          <w:tcPr>
            <w:tcW w:w="2222" w:type="dxa"/>
            <w:vAlign w:val="center"/>
          </w:tcPr>
          <w:p w14:paraId="6D15547E" w14:textId="77777777" w:rsidR="007127F6" w:rsidRDefault="007127F6" w:rsidP="00D74EC8">
            <w:r w:rsidRPr="00511EDF">
              <w:t>Gen Ed</w:t>
            </w:r>
          </w:p>
        </w:tc>
      </w:tr>
      <w:tr w:rsidR="007127F6" w14:paraId="6543D8FC" w14:textId="77777777" w:rsidTr="00304A98">
        <w:tc>
          <w:tcPr>
            <w:tcW w:w="3888" w:type="dxa"/>
            <w:shd w:val="clear" w:color="auto" w:fill="E2E9EB"/>
            <w:vAlign w:val="center"/>
          </w:tcPr>
          <w:p w14:paraId="3F8BB530" w14:textId="77777777" w:rsidR="007127F6" w:rsidRDefault="007127F6" w:rsidP="00D74EC8">
            <w:r w:rsidRPr="00511EDF">
              <w:t xml:space="preserve">Academic Amnesty Programs (BACK2UA, Second Start, </w:t>
            </w:r>
            <w:proofErr w:type="spellStart"/>
            <w:r w:rsidRPr="00511EDF">
              <w:t>etc</w:t>
            </w:r>
            <w:proofErr w:type="spellEnd"/>
            <w:r w:rsidRPr="00511EDF">
              <w:t>)</w:t>
            </w:r>
          </w:p>
        </w:tc>
        <w:tc>
          <w:tcPr>
            <w:tcW w:w="3240" w:type="dxa"/>
            <w:shd w:val="clear" w:color="auto" w:fill="E2E9EB"/>
            <w:vAlign w:val="center"/>
          </w:tcPr>
          <w:p w14:paraId="6DB2D531" w14:textId="77777777" w:rsidR="007127F6" w:rsidRDefault="00000000" w:rsidP="00D74EC8">
            <w:pPr>
              <w:pStyle w:val="ListParagraph"/>
              <w:numPr>
                <w:ilvl w:val="0"/>
                <w:numId w:val="6"/>
              </w:numPr>
            </w:pPr>
            <w:hyperlink r:id="rId29" w:tgtFrame="_blank" w:tooltip="https://catalog.arizona.edu/policy/general-academic-policies/admission-engagement/readmission" w:history="1">
              <w:r w:rsidR="007127F6">
                <w:rPr>
                  <w:rStyle w:val="Hyperlink"/>
                </w:rPr>
                <w:t>Readmis</w:t>
              </w:r>
              <w:r w:rsidR="007127F6">
                <w:rPr>
                  <w:rStyle w:val="Hyperlink"/>
                </w:rPr>
                <w:t>s</w:t>
              </w:r>
              <w:r w:rsidR="007127F6">
                <w:rPr>
                  <w:rStyle w:val="Hyperlink"/>
                </w:rPr>
                <w:t>ion to the University</w:t>
              </w:r>
            </w:hyperlink>
          </w:p>
          <w:p w14:paraId="00A9A214" w14:textId="77777777" w:rsidR="007127F6" w:rsidRDefault="00000000" w:rsidP="00D74EC8">
            <w:pPr>
              <w:pStyle w:val="ListParagraph"/>
              <w:numPr>
                <w:ilvl w:val="0"/>
                <w:numId w:val="6"/>
              </w:numPr>
            </w:pPr>
            <w:hyperlink r:id="rId30" w:history="1">
              <w:r w:rsidR="007127F6" w:rsidRPr="00E2708F">
                <w:rPr>
                  <w:rStyle w:val="Hyperlink"/>
                </w:rPr>
                <w:t>Second Start Rea</w:t>
              </w:r>
              <w:r w:rsidR="007127F6" w:rsidRPr="00E2708F">
                <w:rPr>
                  <w:rStyle w:val="Hyperlink"/>
                </w:rPr>
                <w:t>d</w:t>
              </w:r>
              <w:r w:rsidR="007127F6" w:rsidRPr="00E2708F">
                <w:rPr>
                  <w:rStyle w:val="Hyperlink"/>
                </w:rPr>
                <w:t>mission</w:t>
              </w:r>
            </w:hyperlink>
          </w:p>
        </w:tc>
        <w:tc>
          <w:tcPr>
            <w:tcW w:w="2222" w:type="dxa"/>
            <w:shd w:val="clear" w:color="auto" w:fill="E2E9EB"/>
            <w:vAlign w:val="center"/>
          </w:tcPr>
          <w:p w14:paraId="06BB94B0" w14:textId="77777777" w:rsidR="007127F6" w:rsidRDefault="007127F6" w:rsidP="00D74EC8">
            <w:r w:rsidRPr="00511EDF">
              <w:t>Student Persistence</w:t>
            </w:r>
          </w:p>
        </w:tc>
      </w:tr>
    </w:tbl>
    <w:p w14:paraId="53971469" w14:textId="0AC79FC9" w:rsidR="00BB77E1" w:rsidRDefault="00BB77E1"/>
    <w:sectPr w:rsidR="00BB77E1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A272" w14:textId="77777777" w:rsidR="00875058" w:rsidRDefault="00875058" w:rsidP="007127F6">
      <w:pPr>
        <w:spacing w:after="0" w:line="240" w:lineRule="auto"/>
      </w:pPr>
      <w:r>
        <w:separator/>
      </w:r>
    </w:p>
  </w:endnote>
  <w:endnote w:type="continuationSeparator" w:id="0">
    <w:p w14:paraId="15DC4BCF" w14:textId="77777777" w:rsidR="00875058" w:rsidRDefault="00875058" w:rsidP="0071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BB088" w14:textId="77777777" w:rsidR="00875058" w:rsidRDefault="00875058" w:rsidP="007127F6">
      <w:pPr>
        <w:spacing w:after="0" w:line="240" w:lineRule="auto"/>
      </w:pPr>
      <w:r>
        <w:separator/>
      </w:r>
    </w:p>
  </w:footnote>
  <w:footnote w:type="continuationSeparator" w:id="0">
    <w:p w14:paraId="432A6628" w14:textId="77777777" w:rsidR="00875058" w:rsidRDefault="00875058" w:rsidP="00712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91D28" w14:textId="77777777" w:rsidR="007127F6" w:rsidRDefault="00712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7347"/>
    <w:multiLevelType w:val="hybridMultilevel"/>
    <w:tmpl w:val="C3B21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D19B5"/>
    <w:multiLevelType w:val="hybridMultilevel"/>
    <w:tmpl w:val="EC704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83A04"/>
    <w:multiLevelType w:val="hybridMultilevel"/>
    <w:tmpl w:val="E350F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22152"/>
    <w:multiLevelType w:val="hybridMultilevel"/>
    <w:tmpl w:val="CE067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FB7D91"/>
    <w:multiLevelType w:val="hybridMultilevel"/>
    <w:tmpl w:val="028CF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E62EA"/>
    <w:multiLevelType w:val="hybridMultilevel"/>
    <w:tmpl w:val="20048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03E8C"/>
    <w:multiLevelType w:val="hybridMultilevel"/>
    <w:tmpl w:val="6950A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394D62"/>
    <w:multiLevelType w:val="hybridMultilevel"/>
    <w:tmpl w:val="B728E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B8755E"/>
    <w:multiLevelType w:val="hybridMultilevel"/>
    <w:tmpl w:val="B2420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151FD9"/>
    <w:multiLevelType w:val="hybridMultilevel"/>
    <w:tmpl w:val="DAA45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942424">
    <w:abstractNumId w:val="9"/>
  </w:num>
  <w:num w:numId="2" w16cid:durableId="1012032689">
    <w:abstractNumId w:val="3"/>
  </w:num>
  <w:num w:numId="3" w16cid:durableId="91895553">
    <w:abstractNumId w:val="7"/>
  </w:num>
  <w:num w:numId="4" w16cid:durableId="701249129">
    <w:abstractNumId w:val="0"/>
  </w:num>
  <w:num w:numId="5" w16cid:durableId="144394716">
    <w:abstractNumId w:val="4"/>
  </w:num>
  <w:num w:numId="6" w16cid:durableId="813176760">
    <w:abstractNumId w:val="2"/>
  </w:num>
  <w:num w:numId="7" w16cid:durableId="1185171748">
    <w:abstractNumId w:val="5"/>
  </w:num>
  <w:num w:numId="8" w16cid:durableId="1512064050">
    <w:abstractNumId w:val="8"/>
  </w:num>
  <w:num w:numId="9" w16cid:durableId="90392307">
    <w:abstractNumId w:val="1"/>
  </w:num>
  <w:num w:numId="10" w16cid:durableId="174615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F6"/>
    <w:rsid w:val="000C4A3B"/>
    <w:rsid w:val="000D7E25"/>
    <w:rsid w:val="00231C5A"/>
    <w:rsid w:val="00304A98"/>
    <w:rsid w:val="004A3514"/>
    <w:rsid w:val="004D5BC8"/>
    <w:rsid w:val="006E16E7"/>
    <w:rsid w:val="007127F6"/>
    <w:rsid w:val="00875058"/>
    <w:rsid w:val="008B1991"/>
    <w:rsid w:val="008C04F6"/>
    <w:rsid w:val="009003CC"/>
    <w:rsid w:val="00BB77E1"/>
    <w:rsid w:val="00D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B797"/>
  <w15:chartTrackingRefBased/>
  <w15:docId w15:val="{A03DCA11-7723-4C6D-888E-CC9DD8F5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F6"/>
  </w:style>
  <w:style w:type="paragraph" w:styleId="Heading1">
    <w:name w:val="heading 1"/>
    <w:basedOn w:val="Normal"/>
    <w:next w:val="Normal"/>
    <w:link w:val="Heading1Char"/>
    <w:uiPriority w:val="9"/>
    <w:qFormat/>
    <w:rsid w:val="00712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7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7F6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7F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2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7F6"/>
  </w:style>
  <w:style w:type="paragraph" w:styleId="Footer">
    <w:name w:val="footer"/>
    <w:basedOn w:val="Normal"/>
    <w:link w:val="FooterChar"/>
    <w:uiPriority w:val="99"/>
    <w:unhideWhenUsed/>
    <w:rsid w:val="00712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7F6"/>
  </w:style>
  <w:style w:type="character" w:styleId="FollowedHyperlink">
    <w:name w:val="FollowedHyperlink"/>
    <w:basedOn w:val="DefaultParagraphFont"/>
    <w:uiPriority w:val="99"/>
    <w:semiHidden/>
    <w:unhideWhenUsed/>
    <w:rsid w:val="00304A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rizona.edu/policy/courses-credit/credit/az-community-college-transfer" TargetMode="External"/><Relationship Id="rId18" Type="http://schemas.openxmlformats.org/officeDocument/2006/relationships/hyperlink" Target="https://catalog.arizona.edu/policy/courses-credit/courses/course-types-components" TargetMode="External"/><Relationship Id="rId26" Type="http://schemas.openxmlformats.org/officeDocument/2006/relationships/hyperlink" Target="https://catalog.arizona.edu/policy/program-graduation/general-education/attribut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talog.arizona.edu/policy/program-graduation/student/change-major-college" TargetMode="External"/><Relationship Id="rId7" Type="http://schemas.openxmlformats.org/officeDocument/2006/relationships/hyperlink" Target="https://catalog.arizona.edu/policy/program-graduation/general-education/foundations" TargetMode="External"/><Relationship Id="rId12" Type="http://schemas.openxmlformats.org/officeDocument/2006/relationships/hyperlink" Target="https://catalog.arizona.edu/policy/courses-credit/credit/undergraduate-transfer-credit" TargetMode="External"/><Relationship Id="rId17" Type="http://schemas.openxmlformats.org/officeDocument/2006/relationships/hyperlink" Target="https://catalog.arizona.edu/policy/courses-credit/credit/community-college-transfer" TargetMode="External"/><Relationship Id="rId25" Type="http://schemas.openxmlformats.org/officeDocument/2006/relationships/hyperlink" Target="https://policy.arizona.edu/faculty-affairs-and-academics/course-syllabus-policy-undergraduate-templat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atalog.arizona.edu/policy/courses-credit/grading/averaging-grade-non-university-course" TargetMode="External"/><Relationship Id="rId20" Type="http://schemas.openxmlformats.org/officeDocument/2006/relationships/hyperlink" Target="https://catalog.arizona.edu/policy/program-graduation/degrees-programs/undergraduate/residence-units" TargetMode="External"/><Relationship Id="rId29" Type="http://schemas.openxmlformats.org/officeDocument/2006/relationships/hyperlink" Target="https://catalog.arizona.edu/policy/general-academic-policies/admission-engagement/readmiss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arizona.edu/policy/courses-credit/credit/graduate-transfer-credit" TargetMode="External"/><Relationship Id="rId24" Type="http://schemas.openxmlformats.org/officeDocument/2006/relationships/hyperlink" Target="https://catalog.arizona.edu/policy/registration-tuition-fees/registration-enrollment/leaving-university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atalog.arizona.edu/policy/courses-credit/credit/non-regionally-accredited-transfer" TargetMode="External"/><Relationship Id="rId23" Type="http://schemas.openxmlformats.org/officeDocument/2006/relationships/hyperlink" Target="https://catalog.arizona.edu/policy/general-academic-policies/rights-records/petitions" TargetMode="External"/><Relationship Id="rId28" Type="http://schemas.openxmlformats.org/officeDocument/2006/relationships/hyperlink" Target="https://catalog.arizona.edu/policy/program-graduation/general-education/foundations" TargetMode="External"/><Relationship Id="rId10" Type="http://schemas.openxmlformats.org/officeDocument/2006/relationships/hyperlink" Target="https://catalog.arizona.edu/policy/courses-credit/grading/course-repeat" TargetMode="External"/><Relationship Id="rId19" Type="http://schemas.openxmlformats.org/officeDocument/2006/relationships/hyperlink" Target="https://catalog.arizona.edu/policy/program-graduation/degrees-programs/undergraduate/bachelors-degree-candidacy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talog.arizona.edu/policy/program-graduation/general-education/foundations" TargetMode="External"/><Relationship Id="rId14" Type="http://schemas.openxmlformats.org/officeDocument/2006/relationships/hyperlink" Target="https://catalog.arizona.edu/policy/courses-credit/credit/gen-ed-transfer" TargetMode="External"/><Relationship Id="rId22" Type="http://schemas.openxmlformats.org/officeDocument/2006/relationships/hyperlink" Target="https://catalog.arizona.edu/policy/program-graduation/degrees-programs/undergraduate/certificates" TargetMode="External"/><Relationship Id="rId27" Type="http://schemas.openxmlformats.org/officeDocument/2006/relationships/hyperlink" Target="https://catalog.arizona.edu/policy/program-graduation/general-education/curriculum" TargetMode="External"/><Relationship Id="rId30" Type="http://schemas.openxmlformats.org/officeDocument/2006/relationships/hyperlink" Target="https://catalog.arizona.edu/policy/general-academic-policies/admission-engagement/second-start" TargetMode="External"/><Relationship Id="rId8" Type="http://schemas.openxmlformats.org/officeDocument/2006/relationships/hyperlink" Target="https://catalog.arizona.edu/policy/program-graduation/general-education/writing-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Cassidy - (cbartlett1)</dc:creator>
  <cp:keywords/>
  <dc:description/>
  <cp:lastModifiedBy>Bartlett, Cassidy - (cbartlett1)</cp:lastModifiedBy>
  <cp:revision>3</cp:revision>
  <dcterms:created xsi:type="dcterms:W3CDTF">2024-08-16T18:49:00Z</dcterms:created>
  <dcterms:modified xsi:type="dcterms:W3CDTF">2024-08-16T21:46:00Z</dcterms:modified>
</cp:coreProperties>
</file>