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6C8" w14:textId="102C269D" w:rsidR="006E6D55" w:rsidRPr="00C73332" w:rsidRDefault="006E6D55">
      <w:pPr>
        <w:rPr>
          <w:b/>
          <w:bCs/>
          <w:color w:val="AB0520" w:themeColor="accent1"/>
          <w:sz w:val="28"/>
          <w:szCs w:val="28"/>
        </w:rPr>
      </w:pPr>
      <w:r w:rsidRPr="00C73332">
        <w:rPr>
          <w:b/>
          <w:bCs/>
          <w:color w:val="AB0520" w:themeColor="accent1"/>
          <w:sz w:val="28"/>
          <w:szCs w:val="28"/>
        </w:rPr>
        <w:t>Policy Revision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3195"/>
        <w:gridCol w:w="3537"/>
        <w:gridCol w:w="643"/>
        <w:gridCol w:w="2894"/>
        <w:gridCol w:w="3537"/>
      </w:tblGrid>
      <w:tr w:rsidR="006E6D55" w14:paraId="1302CE56" w14:textId="77777777" w:rsidTr="0053DD59">
        <w:trPr>
          <w:trHeight w:val="260"/>
        </w:trPr>
        <w:tc>
          <w:tcPr>
            <w:tcW w:w="3195" w:type="dxa"/>
          </w:tcPr>
          <w:p w14:paraId="2B10BFAC" w14:textId="79DF09DA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Policy Title</w:t>
            </w:r>
          </w:p>
        </w:tc>
        <w:sdt>
          <w:sdtPr>
            <w:rPr>
              <w:sz w:val="22"/>
              <w:szCs w:val="22"/>
            </w:rPr>
            <w:id w:val="-20474379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3C95F829" w14:textId="3A2F6277" w:rsidR="006E6D55" w:rsidRPr="00D366CA" w:rsidRDefault="00D467C3" w:rsidP="003202EB">
                <w:pPr>
                  <w:spacing w:beforeAutospacing="1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Course Type and Component</w:t>
                </w:r>
                <w:r w:rsidR="00545E12">
                  <w:rPr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6E6D55" w14:paraId="343DB427" w14:textId="77777777" w:rsidTr="00C031F8">
        <w:trPr>
          <w:trHeight w:val="278"/>
        </w:trPr>
        <w:tc>
          <w:tcPr>
            <w:tcW w:w="3195" w:type="dxa"/>
          </w:tcPr>
          <w:p w14:paraId="6DB27602" w14:textId="29432D83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Policy </w:t>
            </w:r>
            <w:r w:rsidR="00030D63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42851021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7266107A" w14:textId="67A1F2DE" w:rsidR="006E6D55" w:rsidRPr="00D366CA" w:rsidRDefault="00DB5F45" w:rsidP="0053DD59">
                <w:pPr>
                  <w:spacing w:before="0" w:beforeAutospacing="1" w:after="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1" w:history="1">
                  <w:r w:rsidRPr="00DB5F45">
                    <w:rPr>
                      <w:rStyle w:val="Hyperlink"/>
                      <w:sz w:val="22"/>
                      <w:szCs w:val="22"/>
                    </w:rPr>
                    <w:t>https://catalog.arizona.edu/policy/courses-credit/courses/course-types-components</w:t>
                  </w:r>
                </w:hyperlink>
                <w:r w:rsidRPr="00DB5F45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E6D55" w14:paraId="26FC69D6" w14:textId="77777777" w:rsidTr="0053DD59">
        <w:trPr>
          <w:trHeight w:val="260"/>
        </w:trPr>
        <w:tc>
          <w:tcPr>
            <w:tcW w:w="3195" w:type="dxa"/>
          </w:tcPr>
          <w:p w14:paraId="6A5364C1" w14:textId="42CD4D4A" w:rsidR="006E6D55" w:rsidRPr="00D366CA" w:rsidRDefault="006E6D55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Update</w:t>
            </w:r>
            <w:r w:rsidR="00AE0440">
              <w:rPr>
                <w:b/>
                <w:bCs/>
                <w:sz w:val="22"/>
                <w:szCs w:val="22"/>
              </w:rPr>
              <w:t>s</w:t>
            </w:r>
          </w:p>
        </w:tc>
        <w:sdt>
          <w:sdtPr>
            <w:rPr>
              <w:sz w:val="22"/>
              <w:szCs w:val="22"/>
              <w:highlight w:val="cyan"/>
            </w:rPr>
            <w:id w:val="-1343387346"/>
            <w:placeholder>
              <w:docPart w:val="E48298F55E1B40BB939BC88D8C749EB2"/>
            </w:placeholder>
          </w:sdtPr>
          <w:sdtContent>
            <w:tc>
              <w:tcPr>
                <w:tcW w:w="10611" w:type="dxa"/>
                <w:gridSpan w:val="4"/>
              </w:tcPr>
              <w:p w14:paraId="1C4D2A24" w14:textId="68DE365C" w:rsidR="006E6D55" w:rsidRPr="00D366CA" w:rsidRDefault="00365743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  <w:r w:rsidR="00485FB6">
                  <w:rPr>
                    <w:sz w:val="22"/>
                    <w:szCs w:val="22"/>
                  </w:rPr>
                  <w:t xml:space="preserve"> </w:t>
                </w:r>
                <w:r w:rsidR="00EB57AA">
                  <w:rPr>
                    <w:sz w:val="22"/>
                    <w:szCs w:val="22"/>
                  </w:rPr>
                  <w:t>Integrated information from previously</w:t>
                </w:r>
                <w:r w:rsidR="00FB3F21">
                  <w:rPr>
                    <w:sz w:val="22"/>
                    <w:szCs w:val="22"/>
                  </w:rPr>
                  <w:t xml:space="preserve"> </w:t>
                </w:r>
                <w:r w:rsidR="00EB57AA">
                  <w:rPr>
                    <w:sz w:val="22"/>
                    <w:szCs w:val="22"/>
                  </w:rPr>
                  <w:t>separate handout (</w:t>
                </w:r>
                <w:hyperlink r:id="rId12" w:history="1">
                  <w:r w:rsidR="00FB3F21" w:rsidRPr="008A49F3">
                    <w:rPr>
                      <w:rStyle w:val="Hyperlink"/>
                      <w:sz w:val="22"/>
                      <w:szCs w:val="22"/>
                    </w:rPr>
                    <w:t>https:</w:t>
                  </w:r>
                  <w:r w:rsidR="00FB3F21" w:rsidRPr="008A49F3">
                    <w:rPr>
                      <w:rStyle w:val="Hyperlink"/>
                      <w:sz w:val="22"/>
                      <w:szCs w:val="22"/>
                    </w:rPr>
                    <w:t>/</w:t>
                  </w:r>
                  <w:r w:rsidR="00FB3F21" w:rsidRPr="008A49F3">
                    <w:rPr>
                      <w:rStyle w:val="Hyperlink"/>
                      <w:sz w:val="22"/>
                      <w:szCs w:val="22"/>
                    </w:rPr>
                    <w:t>/coursedog-static-public.s3.us-east-2.amazonaws.com/arizona_peoplesoft/Component%20Handout.pdf</w:t>
                  </w:r>
                </w:hyperlink>
                <w:r w:rsidR="00FB3F21">
                  <w:rPr>
                    <w:sz w:val="22"/>
                    <w:szCs w:val="22"/>
                  </w:rPr>
                  <w:t xml:space="preserve">) </w:t>
                </w:r>
                <w:r w:rsidR="00EB57AA">
                  <w:rPr>
                    <w:sz w:val="22"/>
                    <w:szCs w:val="22"/>
                  </w:rPr>
                  <w:br/>
                </w:r>
                <w:r w:rsidR="00FB3F21">
                  <w:rPr>
                    <w:sz w:val="22"/>
                    <w:szCs w:val="22"/>
                  </w:rPr>
                  <w:t>-</w:t>
                </w:r>
                <w:r w:rsidR="00AC03F0">
                  <w:rPr>
                    <w:sz w:val="22"/>
                    <w:szCs w:val="22"/>
                  </w:rPr>
                  <w:t>Added Clinical (CLI) component type</w:t>
                </w:r>
                <w:r>
                  <w:rPr>
                    <w:sz w:val="22"/>
                    <w:szCs w:val="22"/>
                  </w:rPr>
                  <w:br/>
                </w:r>
                <w:r w:rsidRPr="00D56028">
                  <w:rPr>
                    <w:sz w:val="22"/>
                    <w:szCs w:val="22"/>
                  </w:rPr>
                  <w:t>-</w:t>
                </w:r>
                <w:r w:rsidR="001F01F8">
                  <w:rPr>
                    <w:sz w:val="22"/>
                    <w:szCs w:val="22"/>
                  </w:rPr>
                  <w:t xml:space="preserve">Added </w:t>
                </w:r>
                <w:r w:rsidR="00485FB6">
                  <w:rPr>
                    <w:sz w:val="22"/>
                    <w:szCs w:val="22"/>
                  </w:rPr>
                  <w:t>information on instruction modality</w:t>
                </w:r>
                <w:r w:rsidR="00E87DDF">
                  <w:rPr>
                    <w:sz w:val="22"/>
                    <w:szCs w:val="22"/>
                  </w:rPr>
                  <w:br/>
                </w:r>
                <w:r w:rsidR="00E87DDF" w:rsidRPr="007946EC">
                  <w:rPr>
                    <w:sz w:val="22"/>
                    <w:szCs w:val="22"/>
                  </w:rPr>
                  <w:t>-Removed required contact hours</w:t>
                </w:r>
              </w:p>
            </w:tc>
          </w:sdtContent>
        </w:sdt>
      </w:tr>
      <w:tr w:rsidR="00AE0440" w14:paraId="2FA99F1E" w14:textId="77777777" w:rsidTr="0053DD59">
        <w:trPr>
          <w:trHeight w:val="260"/>
        </w:trPr>
        <w:tc>
          <w:tcPr>
            <w:tcW w:w="3195" w:type="dxa"/>
          </w:tcPr>
          <w:p w14:paraId="63361E05" w14:textId="27F08B23" w:rsidR="00AE0440" w:rsidRPr="00D366CA" w:rsidRDefault="00AE0440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Justification/ Rationale</w:t>
            </w:r>
          </w:p>
        </w:tc>
        <w:tc>
          <w:tcPr>
            <w:tcW w:w="10611" w:type="dxa"/>
            <w:gridSpan w:val="4"/>
          </w:tcPr>
          <w:p w14:paraId="2E2A8128" w14:textId="6EE91AF0" w:rsidR="00913B2D" w:rsidRPr="00444E43" w:rsidRDefault="00444E43" w:rsidP="00444E43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current policy does not include all course types. Moving in the remaining course types from the handout </w:t>
            </w:r>
            <w:r w:rsidR="0029468A">
              <w:rPr>
                <w:sz w:val="22"/>
                <w:szCs w:val="22"/>
              </w:rPr>
              <w:t xml:space="preserve">places all information in one place and </w:t>
            </w:r>
            <w:r>
              <w:rPr>
                <w:sz w:val="22"/>
                <w:szCs w:val="22"/>
              </w:rPr>
              <w:t>eliminates the need for a separate handout.</w:t>
            </w:r>
            <w:r w:rsidRPr="00444E43">
              <w:rPr>
                <w:sz w:val="22"/>
                <w:szCs w:val="22"/>
              </w:rPr>
              <w:br/>
            </w:r>
            <w:r w:rsidR="00201F9C" w:rsidRPr="00444E43">
              <w:rPr>
                <w:sz w:val="22"/>
                <w:szCs w:val="22"/>
              </w:rPr>
              <w:t>-</w:t>
            </w:r>
            <w:r w:rsidR="0029468A">
              <w:rPr>
                <w:sz w:val="22"/>
                <w:szCs w:val="22"/>
              </w:rPr>
              <w:t xml:space="preserve">Veterinary Medicine, </w:t>
            </w:r>
            <w:r w:rsidR="00CB78D9">
              <w:rPr>
                <w:sz w:val="22"/>
                <w:szCs w:val="22"/>
              </w:rPr>
              <w:t>Medicine, Nursing, and Pharmacy careers all have use cases for a Clinical course type</w:t>
            </w:r>
            <w:r w:rsidR="00965775">
              <w:rPr>
                <w:sz w:val="22"/>
                <w:szCs w:val="22"/>
              </w:rPr>
              <w:t>.</w:t>
            </w:r>
            <w:r w:rsidR="00913B2D" w:rsidRPr="00444E43">
              <w:rPr>
                <w:sz w:val="22"/>
                <w:szCs w:val="22"/>
              </w:rPr>
              <w:br/>
              <w:t xml:space="preserve">-Currently, the only place that methods of instruction are defined is </w:t>
            </w:r>
            <w:r w:rsidR="00806B10" w:rsidRPr="00444E43">
              <w:rPr>
                <w:sz w:val="22"/>
                <w:szCs w:val="22"/>
              </w:rPr>
              <w:t>in department scheduler training materials.</w:t>
            </w:r>
            <w:r w:rsidR="00965775">
              <w:rPr>
                <w:sz w:val="22"/>
                <w:szCs w:val="22"/>
              </w:rPr>
              <w:br/>
              <w:t>-</w:t>
            </w:r>
            <w:r w:rsidR="00AA2DEE">
              <w:rPr>
                <w:sz w:val="22"/>
                <w:szCs w:val="22"/>
              </w:rPr>
              <w:t xml:space="preserve">As contact hours are already addressed in the Credit Definitions policy, </w:t>
            </w:r>
            <w:r w:rsidR="00577774">
              <w:rPr>
                <w:sz w:val="22"/>
                <w:szCs w:val="22"/>
              </w:rPr>
              <w:t>it is duplicative to include this information in the Course Types and Components policy as well.</w:t>
            </w:r>
          </w:p>
        </w:tc>
      </w:tr>
      <w:tr w:rsidR="00C73332" w14:paraId="3BB27448" w14:textId="77777777" w:rsidTr="0053DD59">
        <w:trPr>
          <w:trHeight w:val="260"/>
        </w:trPr>
        <w:tc>
          <w:tcPr>
            <w:tcW w:w="3195" w:type="dxa"/>
          </w:tcPr>
          <w:p w14:paraId="1E61CA06" w14:textId="60072317" w:rsidR="00C73332" w:rsidRPr="00D366CA" w:rsidRDefault="00C73332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Contact Person for Questions</w:t>
            </w:r>
          </w:p>
        </w:tc>
        <w:sdt>
          <w:sdtPr>
            <w:rPr>
              <w:sz w:val="22"/>
              <w:szCs w:val="22"/>
              <w:highlight w:val="cyan"/>
            </w:rPr>
            <w:id w:val="-964896740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28901CED" w14:textId="4176F014" w:rsidR="00C73332" w:rsidRPr="00D366CA" w:rsidRDefault="003D4AE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3D4AE0">
                  <w:rPr>
                    <w:sz w:val="22"/>
                    <w:szCs w:val="22"/>
                  </w:rPr>
                  <w:t>Abbie Sorg</w:t>
                </w:r>
              </w:p>
            </w:tc>
          </w:sdtContent>
        </w:sdt>
      </w:tr>
      <w:tr w:rsidR="00FC3C3A" w14:paraId="46F90B23" w14:textId="77777777" w:rsidTr="00086704">
        <w:trPr>
          <w:trHeight w:val="260"/>
        </w:trPr>
        <w:tc>
          <w:tcPr>
            <w:tcW w:w="3195" w:type="dxa"/>
          </w:tcPr>
          <w:p w14:paraId="2AC8DDD0" w14:textId="7CD2FBC2" w:rsidR="00FC3C3A" w:rsidRPr="00D366CA" w:rsidRDefault="00FC3C3A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Responsible Unit</w:t>
            </w:r>
          </w:p>
        </w:tc>
        <w:sdt>
          <w:sdtPr>
            <w:rPr>
              <w:sz w:val="22"/>
              <w:szCs w:val="22"/>
              <w:highlight w:val="cyan"/>
            </w:rPr>
            <w:id w:val="342207250"/>
            <w:placeholder>
              <w:docPart w:val="DefaultPlaceholder_-1854013440"/>
            </w:placeholder>
          </w:sdtPr>
          <w:sdtContent>
            <w:tc>
              <w:tcPr>
                <w:tcW w:w="3537" w:type="dxa"/>
              </w:tcPr>
              <w:p w14:paraId="3530B684" w14:textId="5165E598" w:rsidR="00FC3C3A" w:rsidRPr="00D366CA" w:rsidRDefault="003D4AE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05113F">
                  <w:rPr>
                    <w:sz w:val="22"/>
                    <w:szCs w:val="22"/>
                  </w:rPr>
                  <w:t>The Office of the Registrar: Academic Catalog &amp; Policy</w:t>
                </w:r>
              </w:p>
            </w:tc>
          </w:sdtContent>
        </w:sdt>
        <w:tc>
          <w:tcPr>
            <w:tcW w:w="643" w:type="dxa"/>
          </w:tcPr>
          <w:p w14:paraId="28D6AD23" w14:textId="5C87843C" w:rsidR="00FC3C3A" w:rsidRPr="00D366CA" w:rsidRDefault="00FC3C3A" w:rsidP="370CCF34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  <w:highlight w:val="cyan"/>
              </w:rPr>
            </w:pPr>
            <w:r w:rsidRPr="00D366CA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14329415"/>
            <w:placeholder>
              <w:docPart w:val="DefaultPlaceholder_-1854013440"/>
            </w:placeholder>
            <w:showingPlcHdr/>
          </w:sdtPr>
          <w:sdtContent>
            <w:tc>
              <w:tcPr>
                <w:tcW w:w="6431" w:type="dxa"/>
                <w:gridSpan w:val="2"/>
              </w:tcPr>
              <w:p w14:paraId="76F242C9" w14:textId="35811CA2" w:rsidR="00FC3C3A" w:rsidRPr="00D366CA" w:rsidRDefault="00086704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D366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C3C3A" w14:paraId="5ACDFB6E" w14:textId="77777777" w:rsidTr="005234C4">
        <w:trPr>
          <w:trHeight w:val="260"/>
        </w:trPr>
        <w:tc>
          <w:tcPr>
            <w:tcW w:w="3195" w:type="dxa"/>
          </w:tcPr>
          <w:p w14:paraId="2F274B61" w14:textId="68EE66E5" w:rsidR="00FC3C3A" w:rsidRPr="00D366CA" w:rsidRDefault="00086704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Career Applicability</w:t>
            </w:r>
          </w:p>
        </w:tc>
        <w:tc>
          <w:tcPr>
            <w:tcW w:w="10611" w:type="dxa"/>
            <w:gridSpan w:val="4"/>
          </w:tcPr>
          <w:p w14:paraId="27BB62E7" w14:textId="168C7A42" w:rsidR="00FC3C3A" w:rsidRPr="00D366CA" w:rsidRDefault="005234C4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  <w:highlight w:val="cyan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74521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Undergraduate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9106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75289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Law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83636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Medicine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2150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Pharmacy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38689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Veterinary Medicine</w:t>
            </w:r>
          </w:p>
        </w:tc>
      </w:tr>
      <w:tr w:rsidR="5938F18D" w14:paraId="6A2BB8EB" w14:textId="77777777" w:rsidTr="0053DD59">
        <w:tc>
          <w:tcPr>
            <w:tcW w:w="3195" w:type="dxa"/>
            <w:vMerge w:val="restart"/>
          </w:tcPr>
          <w:p w14:paraId="337A9659" w14:textId="56436C91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Approvals Granted </w:t>
            </w:r>
          </w:p>
          <w:p w14:paraId="6423FAB6" w14:textId="2DBB3B09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i/>
                <w:iCs/>
                <w:sz w:val="22"/>
                <w:szCs w:val="22"/>
              </w:rPr>
              <w:t>(for council use only)</w:t>
            </w:r>
          </w:p>
        </w:tc>
        <w:tc>
          <w:tcPr>
            <w:tcW w:w="3537" w:type="dxa"/>
          </w:tcPr>
          <w:p w14:paraId="1C5C7EA3" w14:textId="68D3422E" w:rsidR="473878D2" w:rsidRPr="00D366CA" w:rsidRDefault="473878D2" w:rsidP="5938F18D">
            <w:pPr>
              <w:spacing w:before="0" w:after="0" w:line="240" w:lineRule="auto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UGC Policies Subcommittee</w:t>
            </w:r>
          </w:p>
        </w:tc>
        <w:tc>
          <w:tcPr>
            <w:tcW w:w="3537" w:type="dxa"/>
            <w:gridSpan w:val="2"/>
          </w:tcPr>
          <w:p w14:paraId="15B38191" w14:textId="3EF3F159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27B7A5A4" w14:textId="336A3EB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5938F18D" w14:paraId="75561ADA" w14:textId="77777777" w:rsidTr="0053DD59">
        <w:tc>
          <w:tcPr>
            <w:tcW w:w="3195" w:type="dxa"/>
            <w:vMerge/>
          </w:tcPr>
          <w:p w14:paraId="3E91ECF0" w14:textId="77777777" w:rsidR="00C66BF7" w:rsidRPr="00D366CA" w:rsidRDefault="00C66BF7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3C8CF16" w14:textId="1C20D72A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Council</w:t>
            </w:r>
          </w:p>
        </w:tc>
        <w:tc>
          <w:tcPr>
            <w:tcW w:w="3537" w:type="dxa"/>
            <w:gridSpan w:val="2"/>
          </w:tcPr>
          <w:p w14:paraId="7C505C2F" w14:textId="7FD581F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28EAB06C" w14:textId="4DE8713E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285E1AE" w14:textId="77777777" w:rsidTr="0053DD59">
        <w:tc>
          <w:tcPr>
            <w:tcW w:w="3195" w:type="dxa"/>
            <w:vMerge/>
          </w:tcPr>
          <w:p w14:paraId="7FB9169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AA3AA0A" w14:textId="34848D2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Council</w:t>
            </w:r>
          </w:p>
        </w:tc>
        <w:tc>
          <w:tcPr>
            <w:tcW w:w="3537" w:type="dxa"/>
            <w:gridSpan w:val="2"/>
          </w:tcPr>
          <w:p w14:paraId="73BF3B17" w14:textId="403C594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0A4ACC22" w14:textId="7DFC217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1621521A" w14:textId="77777777" w:rsidTr="0053DD59">
        <w:tc>
          <w:tcPr>
            <w:tcW w:w="3195" w:type="dxa"/>
            <w:vMerge/>
          </w:tcPr>
          <w:p w14:paraId="6EE9D5F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BC15F49" w14:textId="4DE7FAE0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CAAC</w:t>
            </w:r>
          </w:p>
        </w:tc>
        <w:tc>
          <w:tcPr>
            <w:tcW w:w="3537" w:type="dxa"/>
            <w:gridSpan w:val="2"/>
          </w:tcPr>
          <w:p w14:paraId="64713A2D" w14:textId="7325A47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66D1B533" w14:textId="4C9E0C4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022C5F" w14:textId="77777777" w:rsidTr="0053DD59">
        <w:tc>
          <w:tcPr>
            <w:tcW w:w="3195" w:type="dxa"/>
            <w:vMerge/>
          </w:tcPr>
          <w:p w14:paraId="6D685D2E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4D5804C0" w14:textId="340C031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CAAC</w:t>
            </w:r>
          </w:p>
        </w:tc>
        <w:tc>
          <w:tcPr>
            <w:tcW w:w="3537" w:type="dxa"/>
            <w:gridSpan w:val="2"/>
          </w:tcPr>
          <w:p w14:paraId="19973300" w14:textId="17311F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60F59686" w14:textId="4D1CDA4A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29C480" w14:textId="77777777" w:rsidTr="0053DD59">
        <w:tc>
          <w:tcPr>
            <w:tcW w:w="3195" w:type="dxa"/>
            <w:vMerge/>
          </w:tcPr>
          <w:p w14:paraId="686DFDA3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EA83F0A" w14:textId="79E494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 Executive Committee</w:t>
            </w:r>
          </w:p>
        </w:tc>
        <w:tc>
          <w:tcPr>
            <w:tcW w:w="3537" w:type="dxa"/>
            <w:gridSpan w:val="2"/>
          </w:tcPr>
          <w:p w14:paraId="778740E4" w14:textId="4A85DF96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1AD15800" w14:textId="664B003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5AEA27C" w14:textId="77777777" w:rsidTr="0053DD59">
        <w:tc>
          <w:tcPr>
            <w:tcW w:w="3195" w:type="dxa"/>
            <w:vMerge/>
          </w:tcPr>
          <w:p w14:paraId="07E5205C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EAC71B1" w14:textId="60EF1893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</w:t>
            </w:r>
          </w:p>
        </w:tc>
        <w:tc>
          <w:tcPr>
            <w:tcW w:w="3537" w:type="dxa"/>
            <w:gridSpan w:val="2"/>
          </w:tcPr>
          <w:p w14:paraId="4A78222A" w14:textId="3483B314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5D28E701" w14:textId="0CB08DE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</w:tbl>
    <w:p w14:paraId="4ADC4F23" w14:textId="1BE3175C" w:rsidR="006E6D55" w:rsidRDefault="00C73332" w:rsidP="00C73332">
      <w:pPr>
        <w:spacing w:after="0"/>
        <w:jc w:val="center"/>
        <w:rPr>
          <w:b/>
          <w:bCs/>
          <w:color w:val="AB0520" w:themeColor="accent1"/>
          <w:sz w:val="22"/>
          <w:szCs w:val="22"/>
        </w:rPr>
      </w:pPr>
      <w:r>
        <w:rPr>
          <w:b/>
          <w:bCs/>
          <w:color w:val="AB0520" w:themeColor="accent1"/>
          <w:sz w:val="22"/>
          <w:szCs w:val="22"/>
        </w:rPr>
        <w:t>Policy Revision Side by Side</w:t>
      </w:r>
    </w:p>
    <w:p w14:paraId="7203E049" w14:textId="640AA805" w:rsidR="00C73332" w:rsidRPr="00C73332" w:rsidRDefault="00C73332" w:rsidP="00C73332">
      <w:pPr>
        <w:spacing w:after="0"/>
        <w:jc w:val="center"/>
        <w:rPr>
          <w:sz w:val="22"/>
          <w:szCs w:val="22"/>
        </w:rPr>
      </w:pPr>
      <w:r w:rsidRPr="00C73332">
        <w:t xml:space="preserve">Additions in </w:t>
      </w:r>
      <w:r w:rsidRPr="00C73332">
        <w:rPr>
          <w:highlight w:val="green"/>
        </w:rPr>
        <w:t>Green</w:t>
      </w:r>
      <w:r w:rsidRPr="00C73332">
        <w:t xml:space="preserve"> – Deletions in </w:t>
      </w:r>
      <w:r w:rsidRPr="00C73332">
        <w:rPr>
          <w:strike/>
          <w:highlight w:val="yellow"/>
        </w:rPr>
        <w:t>Yellow</w:t>
      </w:r>
    </w:p>
    <w:tbl>
      <w:tblPr>
        <w:tblStyle w:val="TableGrid"/>
        <w:tblW w:w="1872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  <w:gridCol w:w="9360"/>
      </w:tblGrid>
      <w:tr w:rsidR="006E6D55" w:rsidRPr="008A1A80" w14:paraId="305BE9AB" w14:textId="77777777" w:rsidTr="18A0FD4A">
        <w:trPr>
          <w:tblHeader/>
          <w:jc w:val="center"/>
        </w:trPr>
        <w:tc>
          <w:tcPr>
            <w:tcW w:w="7219" w:type="dxa"/>
            <w:shd w:val="clear" w:color="auto" w:fill="0C234B" w:themeFill="accent2"/>
          </w:tcPr>
          <w:p w14:paraId="64BD6BCC" w14:textId="77777777" w:rsidR="006E6D55" w:rsidRPr="00C73332" w:rsidRDefault="006E6D55" w:rsidP="005234C4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lastRenderedPageBreak/>
              <w:t>Existing Policy</w:t>
            </w:r>
          </w:p>
        </w:tc>
        <w:tc>
          <w:tcPr>
            <w:tcW w:w="7219" w:type="dxa"/>
            <w:shd w:val="clear" w:color="auto" w:fill="0C234B" w:themeFill="accent2"/>
          </w:tcPr>
          <w:p w14:paraId="51DD670C" w14:textId="77777777" w:rsidR="006E6D55" w:rsidRPr="00C73332" w:rsidRDefault="006E6D55" w:rsidP="005234C4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t>Proposed Edit</w:t>
            </w:r>
          </w:p>
        </w:tc>
      </w:tr>
      <w:tr w:rsidR="00C73332" w:rsidRPr="008A1A80" w14:paraId="200B12CF" w14:textId="77777777" w:rsidTr="18A0FD4A">
        <w:trPr>
          <w:trHeight w:val="2610"/>
          <w:jc w:val="center"/>
        </w:trPr>
        <w:tc>
          <w:tcPr>
            <w:tcW w:w="7219" w:type="dxa"/>
          </w:tcPr>
          <w:p w14:paraId="1DE17898" w14:textId="2F2E2144" w:rsidR="00BE1B6B" w:rsidRPr="00BE1B6B" w:rsidRDefault="005234C4" w:rsidP="00BE1B6B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sdt>
              <w:sdtPr>
                <w:rPr>
                  <w:b w:val="0"/>
                  <w:bCs w:val="0"/>
                  <w:kern w:val="0"/>
                  <w:sz w:val="24"/>
                  <w:szCs w:val="24"/>
                </w:rPr>
                <w:id w:val="-36820985"/>
                <w:placeholder>
                  <w:docPart w:val="DefaultPlaceholder_-1854013440"/>
                </w:placeholder>
              </w:sdtPr>
              <w:sdtEndPr>
                <w:rPr>
                  <w:b/>
                  <w:bCs/>
                  <w:kern w:val="36"/>
                  <w:sz w:val="48"/>
                  <w:szCs w:val="48"/>
                </w:rPr>
              </w:sdtEndPr>
              <w:sdtContent>
                <w:r w:rsidR="00BE1B6B" w:rsidRPr="00BE1B6B">
                  <w:rPr>
                    <w:bdr w:val="single" w:sz="2" w:space="0" w:color="D2D6DC" w:frame="1"/>
                  </w:rPr>
                  <w:t>Course Types &amp; Components</w:t>
                </w:r>
              </w:sdtContent>
            </w:sdt>
            <w:r w:rsidR="00BE1B6B" w:rsidRPr="00BE1B6B">
              <w:rPr>
                <w:bdr w:val="single" w:sz="2" w:space="0" w:color="D2D6DC" w:frame="1"/>
              </w:rPr>
              <w:t xml:space="preserve"> </w:t>
            </w:r>
          </w:p>
          <w:p w14:paraId="6DDC3083" w14:textId="77777777" w:rsidR="00BE1B6B" w:rsidRPr="00BE1B6B" w:rsidRDefault="00BE1B6B" w:rsidP="00BE1B6B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The following definitions apply to </w:t>
            </w:r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 xml:space="preserve">in-person, hybrid, and </w:t>
            </w:r>
            <w:proofErr w:type="gramStart"/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fully-online</w:t>
            </w:r>
            <w:proofErr w:type="gramEnd"/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 xml:space="preserve"> classes</w:t>
            </w:r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. The associated Arizona Board of Regents (ABOR) policy is provided for further clarification of each definition. </w:t>
            </w:r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For suggestions on calculating contact hours for hybrid and fully-online classes, see </w:t>
            </w:r>
            <w:hyperlink r:id="rId13" w:history="1">
              <w:r w:rsidRPr="00AB1BB0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bdr w:val="single" w:sz="2" w:space="0" w:color="D2D6DC" w:frame="1"/>
                </w:rPr>
                <w:t>examples compiled by the Office of Digital Learning</w:t>
              </w:r>
            </w:hyperlink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>.</w:t>
            </w:r>
          </w:p>
          <w:p w14:paraId="333E14DE" w14:textId="77777777" w:rsidR="00BE1B6B" w:rsidRPr="00BE1B6B" w:rsidRDefault="00BE1B6B" w:rsidP="00BE1B6B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trike/>
                <w:sz w:val="24"/>
                <w:szCs w:val="24"/>
              </w:rPr>
            </w:pP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Definitions for </w:t>
            </w:r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House Numbered Courses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 (e.g., Seminar, Colloquium, and Workshop) are provided </w:t>
            </w:r>
            <w:hyperlink r:id="rId14" w:history="1">
              <w:r w:rsidRPr="00BE1B6B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u w:val="single"/>
                  <w:bdr w:val="single" w:sz="2" w:space="0" w:color="D2D6DC" w:frame="1"/>
                </w:rPr>
                <w:t>here</w:t>
              </w:r>
            </w:hyperlink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and on a</w:t>
            </w:r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hyperlink r:id="rId15" w:history="1">
              <w:r w:rsidRPr="00BE1B6B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bdr w:val="single" w:sz="2" w:space="0" w:color="D2D6DC" w:frame="1"/>
                </w:rPr>
                <w:t>handout</w:t>
              </w:r>
            </w:hyperlink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defining both standard and house-numbered course types and components.</w:t>
            </w:r>
          </w:p>
          <w:tbl>
            <w:tblPr>
              <w:tblStyle w:val="TableGrid"/>
              <w:tblW w:w="0" w:type="auto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432"/>
              <w:gridCol w:w="3330"/>
            </w:tblGrid>
            <w:tr w:rsidR="00BE1B6B" w14:paraId="6FA08452" w14:textId="77777777" w:rsidTr="003B1C99">
              <w:tc>
                <w:tcPr>
                  <w:tcW w:w="2068" w:type="dxa"/>
                </w:tcPr>
                <w:p w14:paraId="5B1D3190" w14:textId="77777777" w:rsidR="00031B8D" w:rsidRDefault="00031B8D" w:rsidP="00031B8D">
                  <w:pPr>
                    <w:pStyle w:val="NormalWeb"/>
                    <w:pBdr>
                      <w:top w:val="single" w:sz="2" w:space="0" w:color="D2D6DC"/>
                      <w:left w:val="single" w:sz="2" w:space="0" w:color="D2D6DC"/>
                      <w:bottom w:val="single" w:sz="2" w:space="0" w:color="D2D6DC"/>
                      <w:right w:val="single" w:sz="2" w:space="0" w:color="D2D6DC"/>
                    </w:pBdr>
                    <w:spacing w:before="0"/>
                    <w:rPr>
                      <w:rFonts w:ascii="Proximanova-Regular" w:hAnsi="Proximanova-Regular"/>
                      <w:b/>
                      <w:bCs/>
                      <w:caps/>
                      <w:color w:val="000000"/>
                    </w:rPr>
                  </w:pPr>
                  <w:r w:rsidRPr="00D3182D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>COURSE</w:t>
                  </w:r>
                  <w:r w:rsidRPr="00AB1BB0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 xml:space="preserve"> TYPE</w:t>
                  </w:r>
                  <w:r w:rsidRPr="00620780">
                    <w:rPr>
                      <w:rFonts w:ascii="Proximanova-Regular" w:hAnsi="Proximanova-Regular"/>
                      <w:b/>
                      <w:bCs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br/>
                  </w:r>
                  <w:r w:rsidRPr="00AB1BB0">
                    <w:rPr>
                      <w:rStyle w:val="Strong"/>
                      <w:rFonts w:ascii="Proximanova-Regular" w:hAnsi="Proximanova-Regular"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t>OR COMPONENT</w:t>
                  </w:r>
                </w:p>
                <w:p w14:paraId="2B0BA01D" w14:textId="6185928D" w:rsidR="00BE1B6B" w:rsidRDefault="00BE1B6B" w:rsidP="00BE1B6B">
                  <w:pPr>
                    <w:pStyle w:val="NormalWeb"/>
                    <w:spacing w:before="0" w:beforeAutospacing="0" w:after="180" w:afterAutospacing="0"/>
                  </w:pPr>
                </w:p>
              </w:tc>
              <w:tc>
                <w:tcPr>
                  <w:tcW w:w="2432" w:type="dxa"/>
                  <w:shd w:val="clear" w:color="auto" w:fill="auto"/>
                </w:tcPr>
                <w:p w14:paraId="780A317A" w14:textId="7AE10093" w:rsidR="00BE1B6B" w:rsidRPr="00031B8D" w:rsidRDefault="00031B8D" w:rsidP="00031B8D">
                  <w:pPr>
                    <w:pStyle w:val="NormalWeb"/>
                    <w:spacing w:before="0"/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</w:pPr>
                  <w:r w:rsidRPr="00031B8D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>DEFINITION</w:t>
                  </w:r>
                </w:p>
              </w:tc>
              <w:tc>
                <w:tcPr>
                  <w:tcW w:w="3330" w:type="dxa"/>
                </w:tcPr>
                <w:p w14:paraId="3A191752" w14:textId="71F40E61" w:rsidR="00BE1B6B" w:rsidRPr="00BD08AC" w:rsidRDefault="00BE1B6B" w:rsidP="00BE1B6B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BD08AC">
                    <w:rPr>
                      <w:rStyle w:val="Strong"/>
                      <w:rFonts w:ascii="Proximanova-Regular" w:hAnsi="Proximanova-Regular"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t>REQUIRED CONTACT AND HOMEWORK HOURS (PER</w:t>
                  </w:r>
                  <w:r w:rsidRPr="00BD08AC">
                    <w:rPr>
                      <w:strike/>
                      <w:highlight w:val="yellow"/>
                    </w:rPr>
                    <w:t xml:space="preserve"> </w:t>
                  </w:r>
                  <w:hyperlink r:id="rId16" w:history="1">
                    <w:r w:rsidR="00281812" w:rsidRPr="00BD08AC">
                      <w:rPr>
                        <w:rStyle w:val="Hyperlink"/>
                        <w:rFonts w:ascii="Proximanova-Regular" w:hAnsi="Proximanova-Regular"/>
                        <w:b/>
                        <w:bCs/>
                        <w:caps/>
                        <w:strike/>
                        <w:sz w:val="23"/>
                        <w:szCs w:val="22"/>
                        <w:highlight w:val="yellow"/>
                        <w:bdr w:val="single" w:sz="2" w:space="0" w:color="D2D6DC" w:frame="1"/>
                      </w:rPr>
                      <w:t>ABOR POLICY 2-22</w:t>
                    </w:r>
                    <w:r w:rsidR="00281812" w:rsidRPr="00BD08AC">
                      <w:rPr>
                        <w:rStyle w:val="Hyperlink"/>
                        <w:rFonts w:ascii="Proximanova-Regular" w:hAnsi="Proximanova-Regular"/>
                        <w:b/>
                        <w:bCs/>
                        <w:caps/>
                        <w:strike/>
                        <w:sz w:val="21"/>
                        <w:szCs w:val="21"/>
                        <w:highlight w:val="yellow"/>
                        <w:bdr w:val="single" w:sz="2" w:space="0" w:color="D2D6DC" w:frame="1"/>
                      </w:rPr>
                      <w:t>4</w:t>
                    </w:r>
                  </w:hyperlink>
                  <w:r w:rsidR="00031B8D" w:rsidRPr="00BD08AC">
                    <w:rPr>
                      <w:strike/>
                      <w:highlight w:val="yellow"/>
                    </w:rPr>
                    <w:t>)</w:t>
                  </w:r>
                </w:p>
              </w:tc>
            </w:tr>
            <w:tr w:rsidR="00020E45" w14:paraId="663E1AD5" w14:textId="77777777" w:rsidTr="003B1C99">
              <w:tc>
                <w:tcPr>
                  <w:tcW w:w="2068" w:type="dxa"/>
                  <w:vAlign w:val="center"/>
                </w:tcPr>
                <w:p w14:paraId="7C012E54" w14:textId="20A0A0D5" w:rsidR="00020E45" w:rsidRDefault="00020E45" w:rsidP="00020E45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Lecture</w:t>
                  </w:r>
                </w:p>
              </w:tc>
              <w:tc>
                <w:tcPr>
                  <w:tcW w:w="2432" w:type="dxa"/>
                  <w:vAlign w:val="center"/>
                </w:tcPr>
                <w:p w14:paraId="545B4620" w14:textId="4D46C24D" w:rsidR="00020E45" w:rsidRDefault="00020E45" w:rsidP="00020E45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Fonts w:ascii="Proximanova-Regular" w:hAnsi="Proximanova-Regular"/>
                      <w:color w:val="000000"/>
                    </w:rPr>
                    <w:t>Standard course type. Lecture courses are led by the instructor and may include a variety of pedagogy types.</w:t>
                  </w:r>
                </w:p>
              </w:tc>
              <w:tc>
                <w:tcPr>
                  <w:tcW w:w="3330" w:type="dxa"/>
                  <w:vAlign w:val="center"/>
                </w:tcPr>
                <w:p w14:paraId="4C9E0BF9" w14:textId="2E98E348" w:rsidR="00020E45" w:rsidRPr="00BD08AC" w:rsidRDefault="00020E45" w:rsidP="00020E45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BD08A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At least 15 contact hours of recitation, lecture, discussion, testing or evaluation, seminar, or colloquium, as well as a minimum of 30 hours of student homework is required for each unit of credit.</w:t>
                  </w:r>
                </w:p>
              </w:tc>
            </w:tr>
            <w:tr w:rsidR="003B1C99" w14:paraId="0BEF3B88" w14:textId="77777777" w:rsidTr="003B1C99">
              <w:tc>
                <w:tcPr>
                  <w:tcW w:w="2068" w:type="dxa"/>
                  <w:vAlign w:val="center"/>
                </w:tcPr>
                <w:p w14:paraId="7798533D" w14:textId="3F28CEA7" w:rsidR="003B1C99" w:rsidRPr="00124F70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highlight w:val="yellow"/>
                    </w:rPr>
                  </w:pPr>
                  <w:r w:rsidRPr="00124F70"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Lab</w:t>
                  </w:r>
                </w:p>
              </w:tc>
              <w:tc>
                <w:tcPr>
                  <w:tcW w:w="2432" w:type="dxa"/>
                  <w:vAlign w:val="center"/>
                </w:tcPr>
                <w:p w14:paraId="29BE40A6" w14:textId="1B8CA4FA" w:rsidR="003B1C99" w:rsidRPr="00804673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highlight w:val="yellow"/>
                    </w:rPr>
                  </w:pPr>
                  <w:r w:rsidRPr="00804673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 course set aside for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supervised laboratory or field experimentation, observation</w:t>
                  </w:r>
                  <w:r w:rsidRPr="00BF5EE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, or practice in a field of study or a course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incorporating practical experience. </w:t>
                  </w:r>
                </w:p>
              </w:tc>
              <w:tc>
                <w:tcPr>
                  <w:tcW w:w="3330" w:type="dxa"/>
                  <w:vAlign w:val="center"/>
                </w:tcPr>
                <w:p w14:paraId="02C2F2F4" w14:textId="7DA1C928" w:rsidR="003B1C99" w:rsidRPr="000851F7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0851F7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Laboratory courses require a minimum of 45 contact hours per unit of credit. Field trips will be counted hour-for-hour as laboratory meetings.</w:t>
                  </w:r>
                </w:p>
              </w:tc>
            </w:tr>
            <w:tr w:rsidR="003B1C99" w14:paraId="1007995C" w14:textId="77777777" w:rsidTr="003B1C99">
              <w:tc>
                <w:tcPr>
                  <w:tcW w:w="2068" w:type="dxa"/>
                  <w:vAlign w:val="center"/>
                </w:tcPr>
                <w:p w14:paraId="73CB8F6C" w14:textId="3ADEBDCD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lastRenderedPageBreak/>
                    <w:t>Discussion</w:t>
                  </w:r>
                </w:p>
              </w:tc>
              <w:tc>
                <w:tcPr>
                  <w:tcW w:w="2432" w:type="dxa"/>
                  <w:vAlign w:val="center"/>
                </w:tcPr>
                <w:p w14:paraId="634A09D9" w14:textId="0E24414F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Fonts w:ascii="Proximanova-Regular" w:hAnsi="Proximanova-Regular"/>
                      <w:color w:val="000000"/>
                    </w:rPr>
                    <w:t xml:space="preserve">Interactional meeting typically serving as a secondary </w:t>
                  </w:r>
                  <w:r w:rsidRPr="00124F70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component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that can include activities such as demonstrations, hands-on engagements, case studies, field experiences.</w:t>
                  </w:r>
                </w:p>
              </w:tc>
              <w:tc>
                <w:tcPr>
                  <w:tcW w:w="3330" w:type="dxa"/>
                  <w:vAlign w:val="center"/>
                </w:tcPr>
                <w:p w14:paraId="2A68C2D8" w14:textId="1FEA3364" w:rsidR="003B1C99" w:rsidRPr="002D08E6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2D08E6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At least 15 contact hours of recitation, lecture, discussion, testing or evaluation, seminar, or colloquium, as well as a minimum of 30 hours of student homework is required for each unit of credit.</w:t>
                  </w:r>
                </w:p>
              </w:tc>
            </w:tr>
            <w:tr w:rsidR="003B1C99" w14:paraId="09828452" w14:textId="77777777" w:rsidTr="003B1C99">
              <w:tc>
                <w:tcPr>
                  <w:tcW w:w="2068" w:type="dxa"/>
                  <w:vAlign w:val="center"/>
                </w:tcPr>
                <w:p w14:paraId="0E931D71" w14:textId="76DB374F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Studio</w:t>
                  </w:r>
                </w:p>
              </w:tc>
              <w:tc>
                <w:tcPr>
                  <w:tcW w:w="2432" w:type="dxa"/>
                  <w:vAlign w:val="center"/>
                </w:tcPr>
                <w:p w14:paraId="3CDD2250" w14:textId="52E5D1C0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DA53FF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 course set aside for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supervised creative and/or artistic endeavors incorporating practical experiences and possibly individualized instruction.</w:t>
                  </w:r>
                </w:p>
              </w:tc>
              <w:tc>
                <w:tcPr>
                  <w:tcW w:w="3330" w:type="dxa"/>
                  <w:vAlign w:val="center"/>
                </w:tcPr>
                <w:p w14:paraId="55AC9CEC" w14:textId="77777777" w:rsidR="003B1C99" w:rsidRPr="002D08E6" w:rsidRDefault="003B1C99" w:rsidP="003B1C99">
                  <w:pPr>
                    <w:pStyle w:val="NormalWeb"/>
                    <w:pBdr>
                      <w:top w:val="single" w:sz="2" w:space="0" w:color="D2D6DC"/>
                      <w:left w:val="single" w:sz="2" w:space="0" w:color="D2D6DC"/>
                      <w:bottom w:val="single" w:sz="2" w:space="0" w:color="D2D6DC"/>
                      <w:right w:val="single" w:sz="2" w:space="0" w:color="D2D6DC"/>
                    </w:pBdr>
                    <w:spacing w:before="0" w:beforeAutospacing="0" w:after="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 w:rsidRPr="002D08E6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Studios must involve at least 30 contact hours and at least 15 hours of homework for each unit of credit. </w:t>
                  </w:r>
                </w:p>
                <w:p w14:paraId="0A7A1BA0" w14:textId="5A0CF255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2D08E6">
                    <w:rPr>
                      <w:rStyle w:val="Emphasis"/>
                      <w:rFonts w:ascii="Proximanova-Regular" w:hAnsi="Proximanova-Regular"/>
                      <w:b/>
                      <w:bCs/>
                      <w:strike/>
                      <w:color w:val="000000"/>
                      <w:highlight w:val="yellow"/>
                      <w:bdr w:val="dotted" w:sz="2" w:space="0" w:color="D2D6DC" w:frame="1"/>
                    </w:rPr>
                    <w:t>*Note:  Music instruction and specialized types of music performance offerings must conform to the requirement for accreditation of the National Association of Schools of Music.</w:t>
                  </w:r>
                </w:p>
              </w:tc>
            </w:tr>
          </w:tbl>
          <w:p w14:paraId="5C3ACDE2" w14:textId="6FB3451D" w:rsidR="00C73332" w:rsidRPr="00BE1B6B" w:rsidRDefault="00C73332" w:rsidP="00BE1B6B">
            <w:pPr>
              <w:pStyle w:val="NormalWeb"/>
              <w:spacing w:before="0" w:beforeAutospacing="0" w:after="180" w:afterAutospacing="0"/>
            </w:pPr>
          </w:p>
        </w:tc>
        <w:tc>
          <w:tcPr>
            <w:tcW w:w="7219" w:type="dxa"/>
          </w:tcPr>
          <w:p w14:paraId="46E5FA0F" w14:textId="5D241915" w:rsidR="0017372E" w:rsidRPr="00FF54EA" w:rsidRDefault="005234C4" w:rsidP="0017372E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sdt>
              <w:sdtPr>
                <w:rPr>
                  <w:b w:val="0"/>
                  <w:bCs w:val="0"/>
                  <w:kern w:val="0"/>
                  <w:sz w:val="24"/>
                  <w:szCs w:val="24"/>
                </w:rPr>
                <w:id w:val="-22636805"/>
                <w:placeholder>
                  <w:docPart w:val="657551D403E94A45A1DB6DA1001D3E8F"/>
                </w:placeholder>
              </w:sdtPr>
              <w:sdtEndPr>
                <w:rPr>
                  <w:b/>
                  <w:bCs/>
                  <w:kern w:val="36"/>
                  <w:sz w:val="48"/>
                  <w:szCs w:val="48"/>
                </w:rPr>
              </w:sdtEndPr>
              <w:sdtContent>
                <w:r w:rsidR="0017372E" w:rsidRPr="00FF54EA">
                  <w:rPr>
                    <w:bdr w:val="single" w:sz="2" w:space="0" w:color="D2D6DC" w:frame="1"/>
                  </w:rPr>
                  <w:t xml:space="preserve">Course Types &amp; </w:t>
                </w:r>
                <w:r w:rsidR="00480127" w:rsidRPr="00480127">
                  <w:rPr>
                    <w:highlight w:val="green"/>
                    <w:bdr w:val="single" w:sz="2" w:space="0" w:color="D2D6DC" w:frame="1"/>
                  </w:rPr>
                  <w:t>Modality</w:t>
                </w:r>
              </w:sdtContent>
            </w:sdt>
            <w:r w:rsidR="0017372E" w:rsidRPr="00FF54EA">
              <w:rPr>
                <w:bdr w:val="single" w:sz="2" w:space="0" w:color="D2D6DC" w:frame="1"/>
              </w:rPr>
              <w:t xml:space="preserve"> </w:t>
            </w:r>
          </w:p>
          <w:p w14:paraId="7EF0C619" w14:textId="35839FEC" w:rsidR="005D5BA5" w:rsidRPr="009D1AB7" w:rsidRDefault="0017372E" w:rsidP="009D1AB7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FF54EA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The following definitions apply to </w:t>
            </w:r>
            <w:r w:rsidR="00444056">
              <w:rPr>
                <w:rFonts w:ascii="Proximanova-Regular" w:eastAsia="Times New Roman" w:hAnsi="Proximanova-Regular" w:cs="Times New Roman"/>
                <w:sz w:val="24"/>
                <w:szCs w:val="24"/>
              </w:rPr>
              <w:t>all courses</w:t>
            </w:r>
            <w:r w:rsidRPr="00FF54EA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. The associated Arizona Board of Regents (ABOR) policy is provided for further clarification of each definition. </w:t>
            </w:r>
          </w:p>
          <w:p w14:paraId="58297529" w14:textId="07A5DE8B" w:rsidR="00C647F1" w:rsidRPr="001F01F8" w:rsidRDefault="009D114E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Proximanova-Regular" w:hAnsi="Proximanova-Regular"/>
                <w:b/>
                <w:bCs/>
                <w:color w:val="374151"/>
                <w:sz w:val="28"/>
                <w:szCs w:val="28"/>
                <w:highlight w:val="green"/>
              </w:rPr>
            </w:pPr>
            <w:r w:rsidRPr="001F01F8">
              <w:rPr>
                <w:rFonts w:ascii="Proximanova-Regular" w:hAnsi="Proximanova-Regular"/>
                <w:b/>
                <w:bCs/>
                <w:color w:val="374151"/>
                <w:sz w:val="28"/>
                <w:szCs w:val="28"/>
                <w:highlight w:val="green"/>
              </w:rPr>
              <w:t>Standard C</w:t>
            </w:r>
            <w:r w:rsidR="00FB6917">
              <w:rPr>
                <w:rFonts w:ascii="Proximanova-Regular" w:hAnsi="Proximanova-Regular"/>
                <w:b/>
                <w:bCs/>
                <w:color w:val="374151"/>
                <w:sz w:val="28"/>
                <w:szCs w:val="28"/>
                <w:highlight w:val="green"/>
              </w:rPr>
              <w:t>ourse</w:t>
            </w:r>
            <w:r w:rsidRPr="001F01F8">
              <w:rPr>
                <w:rFonts w:ascii="Proximanova-Regular" w:hAnsi="Proximanova-Regular"/>
                <w:b/>
                <w:bCs/>
                <w:color w:val="374151"/>
                <w:sz w:val="28"/>
                <w:szCs w:val="28"/>
                <w:highlight w:val="green"/>
              </w:rPr>
              <w:t xml:space="preserve"> Types:</w:t>
            </w:r>
          </w:p>
          <w:tbl>
            <w:tblPr>
              <w:tblStyle w:val="TableGrid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6135"/>
            </w:tblGrid>
            <w:tr w:rsidR="00F24881" w:rsidRPr="001F01F8" w14:paraId="539762A9" w14:textId="77777777" w:rsidTr="18A0FD4A">
              <w:tc>
                <w:tcPr>
                  <w:tcW w:w="2850" w:type="dxa"/>
                </w:tcPr>
                <w:p w14:paraId="2503942F" w14:textId="52DE98B0" w:rsidR="00F24881" w:rsidRPr="00FE7C06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green"/>
                    </w:rPr>
                  </w:pPr>
                  <w:r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 xml:space="preserve">COURSE </w:t>
                  </w:r>
                  <w:r w:rsidR="00FB6917"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>TYPE</w:t>
                  </w:r>
                </w:p>
              </w:tc>
              <w:tc>
                <w:tcPr>
                  <w:tcW w:w="6135" w:type="dxa"/>
                </w:tcPr>
                <w:p w14:paraId="15589B0E" w14:textId="7E7A7423" w:rsidR="00F24881" w:rsidRPr="00FE7C06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green"/>
                    </w:rPr>
                  </w:pPr>
                  <w:r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>DEFINITION</w:t>
                  </w:r>
                </w:p>
              </w:tc>
            </w:tr>
            <w:tr w:rsidR="00F24881" w:rsidRPr="001F01F8" w14:paraId="106CA546" w14:textId="77777777" w:rsidTr="18A0FD4A">
              <w:tc>
                <w:tcPr>
                  <w:tcW w:w="2850" w:type="dxa"/>
                  <w:vAlign w:val="center"/>
                </w:tcPr>
                <w:p w14:paraId="71B0CF79" w14:textId="0883AA02" w:rsidR="00F24881" w:rsidRPr="00173747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3747">
                    <w:rPr>
                      <w:rFonts w:ascii="Proximanova-Regular" w:hAnsi="Proximanova-Regular"/>
                      <w:color w:val="000000"/>
                    </w:rPr>
                    <w:t>Lecture (LEC)</w:t>
                  </w:r>
                </w:p>
              </w:tc>
              <w:tc>
                <w:tcPr>
                  <w:tcW w:w="6135" w:type="dxa"/>
                  <w:vAlign w:val="center"/>
                </w:tcPr>
                <w:p w14:paraId="27144C3F" w14:textId="3E1DC1C1" w:rsidR="00F24881" w:rsidRPr="001F01F8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73747">
                    <w:rPr>
                      <w:rFonts w:ascii="Proximanova-Regular" w:hAnsi="Proximanova-Regular"/>
                      <w:color w:val="000000"/>
                    </w:rPr>
                    <w:t>Standard course type. Lecture courses are led by the instructor and may include a variety of pedagogy types.</w:t>
                  </w:r>
                </w:p>
              </w:tc>
            </w:tr>
            <w:tr w:rsidR="00B6628B" w:rsidRPr="001F01F8" w14:paraId="27E4AE59" w14:textId="77777777" w:rsidTr="18A0FD4A">
              <w:tc>
                <w:tcPr>
                  <w:tcW w:w="2850" w:type="dxa"/>
                  <w:vAlign w:val="center"/>
                </w:tcPr>
                <w:p w14:paraId="4E3743B7" w14:textId="52AA1B85" w:rsidR="00B6628B" w:rsidRPr="00092606" w:rsidRDefault="00B6628B" w:rsidP="000D60F2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</w:rPr>
                    <w:t>Lab (LAB)</w:t>
                  </w:r>
                </w:p>
              </w:tc>
              <w:tc>
                <w:tcPr>
                  <w:tcW w:w="6135" w:type="dxa"/>
                  <w:vAlign w:val="center"/>
                </w:tcPr>
                <w:p w14:paraId="392DAA22" w14:textId="37750BC7" w:rsidR="00B6628B" w:rsidRPr="00092606" w:rsidRDefault="00B6628B" w:rsidP="000D60F2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>S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upervised laboratory</w:t>
                  </w: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>,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field experimentation</w:t>
                  </w: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or 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observation</w:t>
                  </w: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, 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incorporating practical experience.</w:t>
                  </w:r>
                </w:p>
              </w:tc>
            </w:tr>
            <w:tr w:rsidR="00F24881" w:rsidRPr="001F01F8" w14:paraId="68C11944" w14:textId="77777777" w:rsidTr="18A0FD4A">
              <w:tc>
                <w:tcPr>
                  <w:tcW w:w="2850" w:type="dxa"/>
                  <w:vAlign w:val="center"/>
                </w:tcPr>
                <w:p w14:paraId="330D3743" w14:textId="755E2DFB" w:rsidR="00F24881" w:rsidRPr="001F01F8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092606">
                    <w:rPr>
                      <w:rFonts w:ascii="Proximanova-Regular" w:hAnsi="Proximanova-Regular"/>
                      <w:color w:val="000000"/>
                    </w:rPr>
                    <w:t>Discussion (DIS)</w:t>
                  </w:r>
                </w:p>
              </w:tc>
              <w:tc>
                <w:tcPr>
                  <w:tcW w:w="6135" w:type="dxa"/>
                  <w:vAlign w:val="center"/>
                </w:tcPr>
                <w:p w14:paraId="1D0DCE19" w14:textId="46A8D8D1" w:rsidR="00F24881" w:rsidRPr="001F01F8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Bidi"/>
                      <w:sz w:val="22"/>
                      <w:szCs w:val="22"/>
                      <w:highlight w:val="green"/>
                    </w:rPr>
                  </w:pPr>
                  <w:r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Interactional meeting typically serving as a secondary </w:t>
                  </w:r>
                  <w:r w:rsidRPr="00124F70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c</w:t>
                  </w:r>
                  <w:r w:rsidR="00124F70" w:rsidRPr="00124F70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lass type</w:t>
                  </w:r>
                  <w:r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 that can include activities such as demonstrations, hands-on engagement</w:t>
                  </w:r>
                  <w:r w:rsidR="000049C2"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 </w:t>
                  </w:r>
                  <w:r w:rsidR="000049C2" w:rsidRPr="3B44EC2E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with course material</w:t>
                  </w:r>
                  <w:r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, case studies, </w:t>
                  </w:r>
                  <w:r w:rsidR="002D08E6" w:rsidRPr="3B44EC2E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and/or</w:t>
                  </w:r>
                  <w:r w:rsidR="002D08E6"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 </w:t>
                  </w:r>
                  <w:r w:rsidRPr="3B44EC2E">
                    <w:rPr>
                      <w:rFonts w:ascii="Proximanova-Regular" w:hAnsi="Proximanova-Regular"/>
                      <w:color w:val="000000" w:themeColor="text1"/>
                    </w:rPr>
                    <w:t>field experiences.</w:t>
                  </w:r>
                </w:p>
              </w:tc>
            </w:tr>
            <w:tr w:rsidR="00B6628B" w:rsidRPr="001F01F8" w14:paraId="2338A7A0" w14:textId="77777777" w:rsidTr="18A0FD4A">
              <w:tc>
                <w:tcPr>
                  <w:tcW w:w="2850" w:type="dxa"/>
                  <w:vAlign w:val="center"/>
                </w:tcPr>
                <w:p w14:paraId="2D7A8D6C" w14:textId="0204B2FF" w:rsidR="00B6628B" w:rsidRPr="00092606" w:rsidRDefault="00B6628B" w:rsidP="000D60F2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</w:rPr>
                    <w:t>Studio (STD)</w:t>
                  </w:r>
                </w:p>
              </w:tc>
              <w:tc>
                <w:tcPr>
                  <w:tcW w:w="6135" w:type="dxa"/>
                  <w:vAlign w:val="center"/>
                </w:tcPr>
                <w:p w14:paraId="51902DC4" w14:textId="26A31B23" w:rsidR="00B6628B" w:rsidRPr="00092606" w:rsidRDefault="00B6628B" w:rsidP="000D60F2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DA53FF">
                    <w:rPr>
                      <w:rFonts w:ascii="Proximanova-Regular" w:hAnsi="Proximanova-Regular"/>
                      <w:color w:val="000000"/>
                    </w:rPr>
                    <w:t>Supervised creative and/or artistic endeavors incorporating practical experiences and possibly individualized instruction.</w:t>
                  </w:r>
                </w:p>
              </w:tc>
            </w:tr>
            <w:tr w:rsidR="00F24881" w:rsidRPr="001F01F8" w14:paraId="5E544673" w14:textId="77777777" w:rsidTr="18A0FD4A">
              <w:tc>
                <w:tcPr>
                  <w:tcW w:w="2850" w:type="dxa"/>
                  <w:vAlign w:val="center"/>
                </w:tcPr>
                <w:p w14:paraId="52F3351F" w14:textId="4BC6CAC4" w:rsidR="00F24881" w:rsidRPr="001F01F8" w:rsidRDefault="00F24881" w:rsidP="18A0FD4A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Bidi"/>
                      <w:sz w:val="22"/>
                      <w:szCs w:val="22"/>
                      <w:highlight w:val="green"/>
                    </w:rPr>
                  </w:pPr>
                  <w:r w:rsidRPr="18A0FD4A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Proseminar and Seminar (SEM)</w:t>
                  </w:r>
                </w:p>
              </w:tc>
              <w:tc>
                <w:tcPr>
                  <w:tcW w:w="6135" w:type="dxa"/>
                  <w:vAlign w:val="center"/>
                </w:tcPr>
                <w:p w14:paraId="5749C3EC" w14:textId="272552D7" w:rsidR="00F24881" w:rsidRPr="001F01F8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The development and exchange of scholarly information, usually in a small group setting. The scope of work </w:t>
                  </w:r>
                  <w:r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>consist</w:t>
                  </w:r>
                  <w:r w:rsidR="00C42896"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>s</w:t>
                  </w:r>
                  <w:r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of research by </w:t>
                  </w:r>
                  <w:r w:rsidR="009C0CFB"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>students</w:t>
                  </w:r>
                  <w:r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, </w:t>
                  </w:r>
                  <w:r w:rsidR="009C0CFB"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sharing the results of research </w:t>
                  </w:r>
                  <w:r w:rsidR="009C0CFB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through 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discussion, reports, and/or papers.</w:t>
                  </w:r>
                </w:p>
              </w:tc>
            </w:tr>
            <w:tr w:rsidR="00F24881" w:rsidRPr="001F01F8" w14:paraId="570E4C77" w14:textId="77777777" w:rsidTr="18A0FD4A">
              <w:tc>
                <w:tcPr>
                  <w:tcW w:w="2850" w:type="dxa"/>
                  <w:vAlign w:val="center"/>
                </w:tcPr>
                <w:p w14:paraId="621F81BE" w14:textId="4F99E823" w:rsidR="00F24881" w:rsidRPr="001F01F8" w:rsidRDefault="00F24881" w:rsidP="009E4D77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Colloquium (CLQ)</w:t>
                  </w:r>
                </w:p>
              </w:tc>
              <w:tc>
                <w:tcPr>
                  <w:tcW w:w="6135" w:type="dxa"/>
                  <w:vAlign w:val="center"/>
                </w:tcPr>
                <w:p w14:paraId="6DC1394D" w14:textId="0702554B" w:rsidR="00F24881" w:rsidRPr="001F01F8" w:rsidRDefault="00F24881" w:rsidP="009E4D77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The exchange of scholarly information and/or secondary research, usually in a small group setting. Instruction often includes </w:t>
                  </w:r>
                  <w:r w:rsidR="00121DD7"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guest </w:t>
                  </w:r>
                  <w:r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>lectures. Research projects may or may not be required of s</w:t>
                  </w:r>
                  <w:r w:rsidR="002F51AA"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>tudents</w:t>
                  </w:r>
                  <w:r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>.</w:t>
                  </w:r>
                </w:p>
              </w:tc>
            </w:tr>
            <w:tr w:rsidR="00F24881" w:rsidRPr="001F01F8" w14:paraId="6B3C6D94" w14:textId="77777777" w:rsidTr="18A0FD4A">
              <w:tc>
                <w:tcPr>
                  <w:tcW w:w="2850" w:type="dxa"/>
                  <w:vAlign w:val="center"/>
                </w:tcPr>
                <w:p w14:paraId="5A18154D" w14:textId="0F7E49F0" w:rsidR="00F24881" w:rsidRPr="001F01F8" w:rsidRDefault="00F24881" w:rsidP="004D106D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lastRenderedPageBreak/>
                    <w:t>Workshop (WRK)</w:t>
                  </w:r>
                </w:p>
              </w:tc>
              <w:tc>
                <w:tcPr>
                  <w:tcW w:w="6135" w:type="dxa"/>
                  <w:vAlign w:val="center"/>
                </w:tcPr>
                <w:p w14:paraId="68F60290" w14:textId="7AE734C1" w:rsidR="00F24881" w:rsidRPr="001F01F8" w:rsidRDefault="00F24881" w:rsidP="004D106D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The practical application of theoretical learning within a small group setting and involving an exchange of ideas and practical methods, skills, and principles.</w:t>
                  </w:r>
                </w:p>
              </w:tc>
            </w:tr>
            <w:tr w:rsidR="00F24881" w:rsidRPr="001F01F8" w14:paraId="2942D44A" w14:textId="77777777" w:rsidTr="18A0FD4A">
              <w:tc>
                <w:tcPr>
                  <w:tcW w:w="2850" w:type="dxa"/>
                  <w:vAlign w:val="center"/>
                </w:tcPr>
                <w:p w14:paraId="74E90F58" w14:textId="57226A1F" w:rsidR="00F24881" w:rsidRPr="001F01F8" w:rsidRDefault="00F24881" w:rsidP="00273190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Individual Studies (IND)</w:t>
                  </w:r>
                </w:p>
              </w:tc>
              <w:tc>
                <w:tcPr>
                  <w:tcW w:w="6135" w:type="dxa"/>
                  <w:vAlign w:val="center"/>
                </w:tcPr>
                <w:p w14:paraId="2BFE88DF" w14:textId="127F08DA" w:rsidR="00F24881" w:rsidRPr="001F01F8" w:rsidRDefault="00F24881" w:rsidP="00273190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Consists of course types including Preceptorship, Directed Research, Internship, Practicum, Independent Study, Research, Case Studies, Master’s Report, Thesis, Master’s Recitals, Dissertation, and Doctoral Recitals. Find individual study course type definitions </w:t>
                  </w:r>
                  <w:hyperlink r:id="rId17" w:anchor="individual" w:history="1">
                    <w:r w:rsidRPr="001F01F8">
                      <w:rPr>
                        <w:rStyle w:val="Hyperlink"/>
                        <w:rFonts w:ascii="Proximanova-Regular" w:hAnsi="Proximanova-Regular"/>
                        <w:highlight w:val="green"/>
                      </w:rPr>
                      <w:t>here</w:t>
                    </w:r>
                  </w:hyperlink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.</w:t>
                  </w:r>
                </w:p>
              </w:tc>
            </w:tr>
            <w:tr w:rsidR="00F24881" w:rsidRPr="001F01F8" w14:paraId="19C97023" w14:textId="77777777" w:rsidTr="18A0FD4A">
              <w:tc>
                <w:tcPr>
                  <w:tcW w:w="2850" w:type="dxa"/>
                  <w:vAlign w:val="center"/>
                </w:tcPr>
                <w:p w14:paraId="03D6EF1B" w14:textId="2D0DB30D" w:rsidR="00F24881" w:rsidRPr="001F01F8" w:rsidRDefault="00F24881" w:rsidP="00F71D78">
                  <w:pPr>
                    <w:pStyle w:val="NormalWeb"/>
                    <w:spacing w:before="0" w:beforeAutospacing="0" w:after="18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Practicum (PRA)</w:t>
                  </w:r>
                </w:p>
              </w:tc>
              <w:tc>
                <w:tcPr>
                  <w:tcW w:w="6135" w:type="dxa"/>
                  <w:vAlign w:val="center"/>
                </w:tcPr>
                <w:p w14:paraId="679F9894" w14:textId="019AD7C3" w:rsidR="00F24881" w:rsidRPr="001F01F8" w:rsidRDefault="00F24881" w:rsidP="00273190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The practical application, on an individual basis, of previously studied theory and the collection of data for future theoretical interpretation.</w:t>
                  </w:r>
                </w:p>
              </w:tc>
            </w:tr>
            <w:tr w:rsidR="00F24881" w:rsidRPr="001F01F8" w14:paraId="36160643" w14:textId="77777777" w:rsidTr="18A0FD4A">
              <w:tc>
                <w:tcPr>
                  <w:tcW w:w="2850" w:type="dxa"/>
                </w:tcPr>
                <w:p w14:paraId="5FDFA629" w14:textId="51DFF17C" w:rsidR="00F24881" w:rsidRPr="001F01F8" w:rsidRDefault="00F24881" w:rsidP="18A0FD4A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Bidi"/>
                      <w:sz w:val="22"/>
                      <w:szCs w:val="22"/>
                      <w:highlight w:val="green"/>
                    </w:rPr>
                  </w:pPr>
                  <w:r w:rsidRPr="18A0FD4A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Clinical (CLI)</w:t>
                  </w:r>
                </w:p>
              </w:tc>
              <w:tc>
                <w:tcPr>
                  <w:tcW w:w="6135" w:type="dxa"/>
                </w:tcPr>
                <w:p w14:paraId="21F65C9F" w14:textId="55118B44" w:rsidR="00F24881" w:rsidRPr="001F01F8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The development of professional skills through practice with clients, under instructor supervision.</w:t>
                  </w:r>
                </w:p>
              </w:tc>
            </w:tr>
          </w:tbl>
          <w:p w14:paraId="2E8794FA" w14:textId="77777777" w:rsidR="009D114E" w:rsidRPr="001F01F8" w:rsidRDefault="009D114E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  <w:p w14:paraId="12BC5958" w14:textId="5AA10642" w:rsidR="00403BBE" w:rsidRPr="001F01F8" w:rsidRDefault="00EA6EE3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Proximanova-Regular" w:hAnsi="Proximanova-Regular"/>
                <w:b/>
                <w:bCs/>
                <w:color w:val="000000"/>
                <w:sz w:val="28"/>
                <w:szCs w:val="28"/>
                <w:highlight w:val="green"/>
              </w:rPr>
            </w:pPr>
            <w:r w:rsidRPr="001F01F8">
              <w:rPr>
                <w:rFonts w:ascii="Proximanova-Regular" w:hAnsi="Proximanova-Regular"/>
                <w:b/>
                <w:bCs/>
                <w:color w:val="000000"/>
                <w:sz w:val="28"/>
                <w:szCs w:val="28"/>
                <w:highlight w:val="green"/>
              </w:rPr>
              <w:t>Instruction</w:t>
            </w:r>
            <w:r w:rsidR="00776D42" w:rsidRPr="001F01F8">
              <w:rPr>
                <w:rFonts w:ascii="Proximanova-Regular" w:hAnsi="Proximanova-Regular"/>
                <w:b/>
                <w:bCs/>
                <w:color w:val="000000"/>
                <w:sz w:val="28"/>
                <w:szCs w:val="28"/>
                <w:highlight w:val="green"/>
              </w:rPr>
              <w:t xml:space="preserve"> Mod</w:t>
            </w:r>
            <w:r w:rsidR="0094250C" w:rsidRPr="001F01F8">
              <w:rPr>
                <w:rFonts w:ascii="Proximanova-Regular" w:hAnsi="Proximanova-Regular"/>
                <w:b/>
                <w:bCs/>
                <w:color w:val="000000"/>
                <w:sz w:val="28"/>
                <w:szCs w:val="28"/>
                <w:highlight w:val="green"/>
              </w:rPr>
              <w:t>ality</w:t>
            </w:r>
          </w:p>
          <w:p w14:paraId="5BCDC5F8" w14:textId="225059D1" w:rsidR="008A7F40" w:rsidRPr="001F01F8" w:rsidRDefault="007549FA" w:rsidP="3B44EC2E">
            <w:pPr>
              <w:pStyle w:val="NormalWeb"/>
              <w:shd w:val="clear" w:color="auto" w:fill="FFFFFF" w:themeFill="background1"/>
              <w:spacing w:before="0" w:beforeAutospacing="0" w:after="180" w:afterAutospacing="0"/>
              <w:rPr>
                <w:rFonts w:ascii="Proximanova-Regular" w:hAnsi="Proximanova-Regular"/>
                <w:color w:val="000000"/>
                <w:highlight w:val="green"/>
              </w:rPr>
            </w:pPr>
            <w:r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>While the co</w:t>
            </w:r>
            <w:r w:rsidR="00FB6917"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>urse type</w:t>
            </w:r>
            <w:r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 xml:space="preserve"> is the method of instruction the students partake in to learn the course material, </w:t>
            </w:r>
            <w:r w:rsidR="00765CC0"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>t</w:t>
            </w:r>
            <w:r w:rsidR="008A7F40"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>he</w:t>
            </w:r>
            <w:r w:rsidR="00765CC0"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 xml:space="preserve"> modality</w:t>
            </w:r>
            <w:r w:rsidR="008A7F40"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 xml:space="preserve"> of instruction</w:t>
            </w:r>
            <w:r w:rsidR="00353967"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 xml:space="preserve"> refers to </w:t>
            </w:r>
            <w:r w:rsidR="008A7F40"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>how</w:t>
            </w:r>
            <w:r w:rsidR="007038A4"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 xml:space="preserve"> course content is delivered.</w:t>
            </w:r>
            <w:r w:rsidR="008A7F40" w:rsidRPr="3B44EC2E">
              <w:rPr>
                <w:rFonts w:ascii="Proximanova-Regular" w:hAnsi="Proximanova-Regular"/>
                <w:color w:val="000000" w:themeColor="text1"/>
                <w:highlight w:val="green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567"/>
            </w:tblGrid>
            <w:tr w:rsidR="00EA6EE3" w:rsidRPr="001F01F8" w14:paraId="66195D27" w14:textId="77777777" w:rsidTr="00EA6EE3">
              <w:tc>
                <w:tcPr>
                  <w:tcW w:w="4567" w:type="dxa"/>
                </w:tcPr>
                <w:p w14:paraId="64837392" w14:textId="54A17CB7" w:rsidR="00EA6EE3" w:rsidRPr="001F01F8" w:rsidRDefault="00EA6EE3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MODALITY</w:t>
                  </w:r>
                </w:p>
              </w:tc>
              <w:tc>
                <w:tcPr>
                  <w:tcW w:w="4567" w:type="dxa"/>
                </w:tcPr>
                <w:p w14:paraId="21F599C8" w14:textId="25ED4825" w:rsidR="00EA6EE3" w:rsidRPr="001F01F8" w:rsidRDefault="005527C6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DEFINITION</w:t>
                  </w:r>
                </w:p>
              </w:tc>
            </w:tr>
            <w:tr w:rsidR="00EA6EE3" w:rsidRPr="001F01F8" w14:paraId="28113D2D" w14:textId="77777777" w:rsidTr="00EA6EE3">
              <w:tc>
                <w:tcPr>
                  <w:tcW w:w="4567" w:type="dxa"/>
                </w:tcPr>
                <w:p w14:paraId="761796A7" w14:textId="1365B9A0" w:rsidR="00EA6EE3" w:rsidRPr="001F01F8" w:rsidRDefault="00E00B50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Fully Online (FO)</w:t>
                  </w:r>
                </w:p>
              </w:tc>
              <w:tc>
                <w:tcPr>
                  <w:tcW w:w="4567" w:type="dxa"/>
                </w:tcPr>
                <w:p w14:paraId="01FB7DAE" w14:textId="45899C66" w:rsidR="00EA6EE3" w:rsidRPr="001F01F8" w:rsidRDefault="00560172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Class is taught fully online and class meetings are asynchronous.</w:t>
                  </w:r>
                </w:p>
              </w:tc>
            </w:tr>
            <w:tr w:rsidR="00EA6EE3" w:rsidRPr="001F01F8" w14:paraId="6EEF86D4" w14:textId="77777777" w:rsidTr="00EA6EE3">
              <w:tc>
                <w:tcPr>
                  <w:tcW w:w="4567" w:type="dxa"/>
                </w:tcPr>
                <w:p w14:paraId="3864AD55" w14:textId="44F0F408" w:rsidR="00EA6EE3" w:rsidRPr="001F01F8" w:rsidRDefault="00E00B50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Hybrid</w:t>
                  </w:r>
                  <w:r w:rsidR="00D778B8"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(Flex In-Person) (HY)</w:t>
                  </w:r>
                </w:p>
              </w:tc>
              <w:tc>
                <w:tcPr>
                  <w:tcW w:w="4567" w:type="dxa"/>
                </w:tcPr>
                <w:p w14:paraId="095A7963" w14:textId="79DF5506" w:rsidR="005527C6" w:rsidRPr="001F01F8" w:rsidRDefault="00560172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Students attend </w:t>
                  </w:r>
                  <w:r w:rsidR="000F22BF"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class both </w:t>
                  </w:r>
                  <w:r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in-person and online</w:t>
                  </w:r>
                  <w:r w:rsidR="000F22BF"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. </w:t>
                  </w:r>
                  <w:r w:rsidR="0008709C" w:rsidRPr="00573C31">
                    <w:rPr>
                      <w:rFonts w:ascii="Proximanova-Regular" w:hAnsi="Proximanova-Regular"/>
                      <w:color w:val="000000"/>
                      <w:highlight w:val="green"/>
                    </w:rPr>
                    <w:t>Class syllabus will indicate attendance requirements and locations.</w:t>
                  </w:r>
                </w:p>
              </w:tc>
            </w:tr>
            <w:tr w:rsidR="005527C6" w:rsidRPr="001F01F8" w14:paraId="2E668B1D" w14:textId="77777777" w:rsidTr="00EA6EE3">
              <w:tc>
                <w:tcPr>
                  <w:tcW w:w="4567" w:type="dxa"/>
                </w:tcPr>
                <w:p w14:paraId="0CBDCACA" w14:textId="2323AAFD" w:rsidR="005527C6" w:rsidRPr="001F01F8" w:rsidRDefault="00D778B8" w:rsidP="002640AB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374151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Interactive Broadcast/Webcast (IT)</w:t>
                  </w:r>
                </w:p>
              </w:tc>
              <w:tc>
                <w:tcPr>
                  <w:tcW w:w="4567" w:type="dxa"/>
                </w:tcPr>
                <w:p w14:paraId="681951DD" w14:textId="56B5B965" w:rsidR="005527C6" w:rsidRPr="001F01F8" w:rsidRDefault="00560172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Students </w:t>
                  </w:r>
                  <w:r w:rsidR="00D65745">
                    <w:rPr>
                      <w:rFonts w:ascii="Proximanova-Regular" w:hAnsi="Proximanova-Regular"/>
                      <w:color w:val="000000"/>
                      <w:highlight w:val="green"/>
                    </w:rPr>
                    <w:t>attend class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</w:t>
                  </w:r>
                  <w:r w:rsidR="007E759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synchronously(?) 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in multiple classrooms in different </w:t>
                  </w:r>
                  <w:r w:rsidR="001B6109">
                    <w:rPr>
                      <w:rFonts w:ascii="Proximanova-Regular" w:hAnsi="Proximanova-Regular"/>
                      <w:color w:val="000000"/>
                      <w:highlight w:val="green"/>
                    </w:rPr>
                    <w:t>locations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.</w:t>
                  </w:r>
                </w:p>
              </w:tc>
            </w:tr>
            <w:tr w:rsidR="00D778B8" w:rsidRPr="001F01F8" w14:paraId="70058E91" w14:textId="77777777" w:rsidTr="00EA6EE3">
              <w:tc>
                <w:tcPr>
                  <w:tcW w:w="4567" w:type="dxa"/>
                </w:tcPr>
                <w:p w14:paraId="0C0700F5" w14:textId="7D27FE60" w:rsidR="00D778B8" w:rsidRPr="001F01F8" w:rsidRDefault="00D778B8" w:rsidP="002640AB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374151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 Person (P)</w:t>
                  </w:r>
                </w:p>
              </w:tc>
              <w:tc>
                <w:tcPr>
                  <w:tcW w:w="4567" w:type="dxa"/>
                </w:tcPr>
                <w:p w14:paraId="03BC75F3" w14:textId="4AAE5C8B" w:rsidR="00D778B8" w:rsidRPr="001F01F8" w:rsidRDefault="00560172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Students and instructors attend class in person.</w:t>
                  </w:r>
                </w:p>
              </w:tc>
            </w:tr>
            <w:tr w:rsidR="00D778B8" w14:paraId="0DDEF4AF" w14:textId="77777777" w:rsidTr="00EA6EE3">
              <w:tc>
                <w:tcPr>
                  <w:tcW w:w="4567" w:type="dxa"/>
                </w:tcPr>
                <w:p w14:paraId="0779A9F3" w14:textId="6A46642B" w:rsidR="00D778B8" w:rsidRPr="001F01F8" w:rsidRDefault="00D778B8" w:rsidP="002640AB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374151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lastRenderedPageBreak/>
                    <w:t>Live Online (R)</w:t>
                  </w:r>
                </w:p>
              </w:tc>
              <w:tc>
                <w:tcPr>
                  <w:tcW w:w="4567" w:type="dxa"/>
                </w:tcPr>
                <w:p w14:paraId="6179848D" w14:textId="5ACE6974" w:rsidR="00D778B8" w:rsidRDefault="00CF5BB2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>I</w:t>
                  </w:r>
                  <w:r w:rsidR="00336F20" w:rsidRPr="00336F20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nstructor and students </w:t>
                  </w: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>meet</w:t>
                  </w:r>
                  <w:r w:rsidR="00336F20" w:rsidRPr="00336F20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online s</w:t>
                  </w: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>ynchronously</w:t>
                  </w:r>
                  <w:r w:rsidR="00336F20" w:rsidRPr="00336F20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, and </w:t>
                  </w: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>the</w:t>
                  </w:r>
                  <w:r w:rsidR="00336F20" w:rsidRPr="00336F20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instructor provides content in a live online platform.</w:t>
                  </w:r>
                </w:p>
              </w:tc>
            </w:tr>
          </w:tbl>
          <w:p w14:paraId="3C8CA153" w14:textId="77777777" w:rsidR="00EA6EE3" w:rsidRDefault="00EA6EE3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6A2F0" w14:textId="10E0AFBC" w:rsidR="009D1AB7" w:rsidRDefault="009D1AB7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38D6F" w14:textId="4139F232" w:rsidR="00C73332" w:rsidRPr="004C2B9C" w:rsidRDefault="00C73332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BAA2AF" w14:textId="12C78CAE" w:rsidR="00936861" w:rsidRDefault="00936861" w:rsidP="004C2B9C"/>
    <w:sectPr w:rsidR="00936861" w:rsidSect="00B11B31">
      <w:footerReference w:type="default" r:id="rId1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16C2" w14:textId="77777777" w:rsidR="00EA4C45" w:rsidRDefault="00EA4C45" w:rsidP="006E6D55">
      <w:pPr>
        <w:spacing w:before="0" w:after="0" w:line="240" w:lineRule="auto"/>
      </w:pPr>
      <w:r>
        <w:separator/>
      </w:r>
    </w:p>
  </w:endnote>
  <w:endnote w:type="continuationSeparator" w:id="0">
    <w:p w14:paraId="41BF6C3C" w14:textId="77777777" w:rsidR="00EA4C45" w:rsidRDefault="00EA4C45" w:rsidP="006E6D55">
      <w:pPr>
        <w:spacing w:before="0" w:after="0" w:line="240" w:lineRule="auto"/>
      </w:pPr>
      <w:r>
        <w:continuationSeparator/>
      </w:r>
    </w:p>
  </w:endnote>
  <w:endnote w:type="continuationNotice" w:id="1">
    <w:p w14:paraId="35D26837" w14:textId="77777777" w:rsidR="00EA4C45" w:rsidRDefault="00EA4C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81FA" w14:textId="33C8869F" w:rsidR="006E6D55" w:rsidRPr="006E6D55" w:rsidRDefault="006E6D55" w:rsidP="006E6D55">
    <w:pPr>
      <w:pStyle w:val="Footer"/>
      <w:jc w:val="right"/>
      <w:rPr>
        <w:i/>
        <w:iCs/>
        <w:sz w:val="18"/>
        <w:szCs w:val="18"/>
      </w:rPr>
    </w:pPr>
    <w:r w:rsidRPr="006E6D55">
      <w:rPr>
        <w:i/>
        <w:iCs/>
        <w:sz w:val="18"/>
        <w:szCs w:val="18"/>
      </w:rPr>
      <w:t>Last updated: 8/31/2020 7:39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82DD" w14:textId="77777777" w:rsidR="00EA4C45" w:rsidRDefault="00EA4C45" w:rsidP="006E6D55">
      <w:pPr>
        <w:spacing w:before="0" w:after="0" w:line="240" w:lineRule="auto"/>
      </w:pPr>
      <w:r>
        <w:separator/>
      </w:r>
    </w:p>
  </w:footnote>
  <w:footnote w:type="continuationSeparator" w:id="0">
    <w:p w14:paraId="18FD44B7" w14:textId="77777777" w:rsidR="00EA4C45" w:rsidRDefault="00EA4C45" w:rsidP="006E6D55">
      <w:pPr>
        <w:spacing w:before="0" w:after="0" w:line="240" w:lineRule="auto"/>
      </w:pPr>
      <w:r>
        <w:continuationSeparator/>
      </w:r>
    </w:p>
  </w:footnote>
  <w:footnote w:type="continuationNotice" w:id="1">
    <w:p w14:paraId="42817A48" w14:textId="77777777" w:rsidR="00EA4C45" w:rsidRDefault="00EA4C4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4FA"/>
    <w:multiLevelType w:val="multilevel"/>
    <w:tmpl w:val="BD9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37F1A"/>
    <w:multiLevelType w:val="multilevel"/>
    <w:tmpl w:val="DA1E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6018"/>
    <w:multiLevelType w:val="hybridMultilevel"/>
    <w:tmpl w:val="D584C906"/>
    <w:lvl w:ilvl="0" w:tplc="23001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41B2"/>
    <w:multiLevelType w:val="multilevel"/>
    <w:tmpl w:val="1308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4E08"/>
    <w:multiLevelType w:val="multilevel"/>
    <w:tmpl w:val="AC6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85F48"/>
    <w:multiLevelType w:val="multilevel"/>
    <w:tmpl w:val="17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8576A"/>
    <w:multiLevelType w:val="multilevel"/>
    <w:tmpl w:val="72C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B00FD"/>
    <w:multiLevelType w:val="multilevel"/>
    <w:tmpl w:val="342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B0EC5"/>
    <w:multiLevelType w:val="multilevel"/>
    <w:tmpl w:val="AB207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3FDA"/>
    <w:multiLevelType w:val="hybridMultilevel"/>
    <w:tmpl w:val="B7A608CA"/>
    <w:lvl w:ilvl="0" w:tplc="A5D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B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6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2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2533"/>
    <w:multiLevelType w:val="multilevel"/>
    <w:tmpl w:val="AF1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51E3E"/>
    <w:multiLevelType w:val="hybridMultilevel"/>
    <w:tmpl w:val="987C63F0"/>
    <w:lvl w:ilvl="0" w:tplc="357403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8803">
    <w:abstractNumId w:val="9"/>
  </w:num>
  <w:num w:numId="2" w16cid:durableId="1239629854">
    <w:abstractNumId w:val="1"/>
  </w:num>
  <w:num w:numId="3" w16cid:durableId="1258908841">
    <w:abstractNumId w:val="7"/>
  </w:num>
  <w:num w:numId="4" w16cid:durableId="2115392385">
    <w:abstractNumId w:val="8"/>
  </w:num>
  <w:num w:numId="5" w16cid:durableId="681471771">
    <w:abstractNumId w:val="3"/>
  </w:num>
  <w:num w:numId="6" w16cid:durableId="2080133462">
    <w:abstractNumId w:val="5"/>
  </w:num>
  <w:num w:numId="7" w16cid:durableId="1816993010">
    <w:abstractNumId w:val="4"/>
  </w:num>
  <w:num w:numId="8" w16cid:durableId="1537305891">
    <w:abstractNumId w:val="0"/>
  </w:num>
  <w:num w:numId="9" w16cid:durableId="1880824169">
    <w:abstractNumId w:val="10"/>
  </w:num>
  <w:num w:numId="10" w16cid:durableId="642853777">
    <w:abstractNumId w:val="6"/>
  </w:num>
  <w:num w:numId="11" w16cid:durableId="622077787">
    <w:abstractNumId w:val="2"/>
  </w:num>
  <w:num w:numId="12" w16cid:durableId="1586190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55"/>
    <w:rsid w:val="000049C2"/>
    <w:rsid w:val="00011831"/>
    <w:rsid w:val="00020E45"/>
    <w:rsid w:val="0002637F"/>
    <w:rsid w:val="00026F33"/>
    <w:rsid w:val="00030D63"/>
    <w:rsid w:val="00031B8D"/>
    <w:rsid w:val="000509B0"/>
    <w:rsid w:val="0005113F"/>
    <w:rsid w:val="00053359"/>
    <w:rsid w:val="00061956"/>
    <w:rsid w:val="000851F7"/>
    <w:rsid w:val="00086704"/>
    <w:rsid w:val="0008709C"/>
    <w:rsid w:val="00092606"/>
    <w:rsid w:val="000A1F91"/>
    <w:rsid w:val="000A275D"/>
    <w:rsid w:val="000D60F2"/>
    <w:rsid w:val="000D6A13"/>
    <w:rsid w:val="000F22BF"/>
    <w:rsid w:val="00104008"/>
    <w:rsid w:val="001121C0"/>
    <w:rsid w:val="00121DD7"/>
    <w:rsid w:val="00124F70"/>
    <w:rsid w:val="00135553"/>
    <w:rsid w:val="0015213D"/>
    <w:rsid w:val="00154076"/>
    <w:rsid w:val="001561B4"/>
    <w:rsid w:val="00157382"/>
    <w:rsid w:val="00166B53"/>
    <w:rsid w:val="0017372E"/>
    <w:rsid w:val="00173747"/>
    <w:rsid w:val="00176504"/>
    <w:rsid w:val="001838C9"/>
    <w:rsid w:val="001B6109"/>
    <w:rsid w:val="001E2640"/>
    <w:rsid w:val="001F01F8"/>
    <w:rsid w:val="001F71DE"/>
    <w:rsid w:val="00201F9C"/>
    <w:rsid w:val="00205281"/>
    <w:rsid w:val="00214200"/>
    <w:rsid w:val="00215C8E"/>
    <w:rsid w:val="002218C0"/>
    <w:rsid w:val="00224D56"/>
    <w:rsid w:val="002254EA"/>
    <w:rsid w:val="00232F37"/>
    <w:rsid w:val="00237798"/>
    <w:rsid w:val="00243DC1"/>
    <w:rsid w:val="00251D68"/>
    <w:rsid w:val="002640AB"/>
    <w:rsid w:val="00273190"/>
    <w:rsid w:val="00281812"/>
    <w:rsid w:val="0029468A"/>
    <w:rsid w:val="00295F17"/>
    <w:rsid w:val="002B1A2B"/>
    <w:rsid w:val="002C765F"/>
    <w:rsid w:val="002D08E6"/>
    <w:rsid w:val="002F04B4"/>
    <w:rsid w:val="002F1091"/>
    <w:rsid w:val="002F35D5"/>
    <w:rsid w:val="002F5065"/>
    <w:rsid w:val="002F51AA"/>
    <w:rsid w:val="00314ED4"/>
    <w:rsid w:val="003202EB"/>
    <w:rsid w:val="00323DCD"/>
    <w:rsid w:val="00336F20"/>
    <w:rsid w:val="0034455F"/>
    <w:rsid w:val="00345F8E"/>
    <w:rsid w:val="00351C16"/>
    <w:rsid w:val="00353967"/>
    <w:rsid w:val="00362380"/>
    <w:rsid w:val="00365743"/>
    <w:rsid w:val="00374B48"/>
    <w:rsid w:val="0039419D"/>
    <w:rsid w:val="003B1C99"/>
    <w:rsid w:val="003D4AE0"/>
    <w:rsid w:val="003F1E49"/>
    <w:rsid w:val="003F3414"/>
    <w:rsid w:val="00403BBE"/>
    <w:rsid w:val="00405577"/>
    <w:rsid w:val="00426812"/>
    <w:rsid w:val="00426F29"/>
    <w:rsid w:val="00444056"/>
    <w:rsid w:val="00444E43"/>
    <w:rsid w:val="0044681F"/>
    <w:rsid w:val="00451983"/>
    <w:rsid w:val="004577E7"/>
    <w:rsid w:val="00460082"/>
    <w:rsid w:val="004769D5"/>
    <w:rsid w:val="00480127"/>
    <w:rsid w:val="00485FB6"/>
    <w:rsid w:val="00497C8A"/>
    <w:rsid w:val="004A3E93"/>
    <w:rsid w:val="004A4B03"/>
    <w:rsid w:val="004B5079"/>
    <w:rsid w:val="004C2B9C"/>
    <w:rsid w:val="004D106D"/>
    <w:rsid w:val="00506031"/>
    <w:rsid w:val="005234C4"/>
    <w:rsid w:val="0053DD59"/>
    <w:rsid w:val="00545E12"/>
    <w:rsid w:val="005527C6"/>
    <w:rsid w:val="00560172"/>
    <w:rsid w:val="00573C31"/>
    <w:rsid w:val="00573FEA"/>
    <w:rsid w:val="005750FA"/>
    <w:rsid w:val="005751F1"/>
    <w:rsid w:val="00577774"/>
    <w:rsid w:val="005B2D4F"/>
    <w:rsid w:val="005B3399"/>
    <w:rsid w:val="005B4BE6"/>
    <w:rsid w:val="005B6ACA"/>
    <w:rsid w:val="005D0C3A"/>
    <w:rsid w:val="005D5BA5"/>
    <w:rsid w:val="005F4B7B"/>
    <w:rsid w:val="00600DB7"/>
    <w:rsid w:val="00613F26"/>
    <w:rsid w:val="00620780"/>
    <w:rsid w:val="006A2184"/>
    <w:rsid w:val="006D6600"/>
    <w:rsid w:val="006E6D55"/>
    <w:rsid w:val="006F0D4B"/>
    <w:rsid w:val="007038A4"/>
    <w:rsid w:val="00711E91"/>
    <w:rsid w:val="007162DA"/>
    <w:rsid w:val="007315AD"/>
    <w:rsid w:val="00742AA1"/>
    <w:rsid w:val="00751E58"/>
    <w:rsid w:val="007549FA"/>
    <w:rsid w:val="00765CC0"/>
    <w:rsid w:val="007673B3"/>
    <w:rsid w:val="00776D42"/>
    <w:rsid w:val="00783F87"/>
    <w:rsid w:val="00784BF4"/>
    <w:rsid w:val="00787F31"/>
    <w:rsid w:val="007946EC"/>
    <w:rsid w:val="007B3270"/>
    <w:rsid w:val="007C0EC1"/>
    <w:rsid w:val="007C7461"/>
    <w:rsid w:val="007D36AE"/>
    <w:rsid w:val="007E3D26"/>
    <w:rsid w:val="007E7598"/>
    <w:rsid w:val="00803D81"/>
    <w:rsid w:val="00804673"/>
    <w:rsid w:val="00806B10"/>
    <w:rsid w:val="008243CC"/>
    <w:rsid w:val="00830FD7"/>
    <w:rsid w:val="00865FC2"/>
    <w:rsid w:val="0087367D"/>
    <w:rsid w:val="008A7F40"/>
    <w:rsid w:val="008B6A08"/>
    <w:rsid w:val="00913B2D"/>
    <w:rsid w:val="00916298"/>
    <w:rsid w:val="00916591"/>
    <w:rsid w:val="00936861"/>
    <w:rsid w:val="00941829"/>
    <w:rsid w:val="00941AFA"/>
    <w:rsid w:val="0094250C"/>
    <w:rsid w:val="00962DA5"/>
    <w:rsid w:val="00965775"/>
    <w:rsid w:val="00971342"/>
    <w:rsid w:val="00974648"/>
    <w:rsid w:val="009A0A94"/>
    <w:rsid w:val="009A0DFF"/>
    <w:rsid w:val="009C0CFB"/>
    <w:rsid w:val="009D114E"/>
    <w:rsid w:val="009D1AB7"/>
    <w:rsid w:val="009E4D77"/>
    <w:rsid w:val="00A052BB"/>
    <w:rsid w:val="00A173D1"/>
    <w:rsid w:val="00A43F52"/>
    <w:rsid w:val="00A60101"/>
    <w:rsid w:val="00A80746"/>
    <w:rsid w:val="00A934B4"/>
    <w:rsid w:val="00A9440E"/>
    <w:rsid w:val="00AA1872"/>
    <w:rsid w:val="00AA2DEE"/>
    <w:rsid w:val="00AB1BB0"/>
    <w:rsid w:val="00AC03F0"/>
    <w:rsid w:val="00AC3471"/>
    <w:rsid w:val="00AE0440"/>
    <w:rsid w:val="00AE2F38"/>
    <w:rsid w:val="00B11B31"/>
    <w:rsid w:val="00B42C5D"/>
    <w:rsid w:val="00B43778"/>
    <w:rsid w:val="00B47B12"/>
    <w:rsid w:val="00B56E6F"/>
    <w:rsid w:val="00B6628B"/>
    <w:rsid w:val="00B84438"/>
    <w:rsid w:val="00B84EFD"/>
    <w:rsid w:val="00BC0EA7"/>
    <w:rsid w:val="00BC6E26"/>
    <w:rsid w:val="00BD08AC"/>
    <w:rsid w:val="00BD139A"/>
    <w:rsid w:val="00BD5728"/>
    <w:rsid w:val="00BE1B6B"/>
    <w:rsid w:val="00BE6960"/>
    <w:rsid w:val="00BF45DC"/>
    <w:rsid w:val="00BF5EEC"/>
    <w:rsid w:val="00C031F8"/>
    <w:rsid w:val="00C05C0C"/>
    <w:rsid w:val="00C0687C"/>
    <w:rsid w:val="00C24AB8"/>
    <w:rsid w:val="00C30656"/>
    <w:rsid w:val="00C31F1D"/>
    <w:rsid w:val="00C4181A"/>
    <w:rsid w:val="00C42896"/>
    <w:rsid w:val="00C600E7"/>
    <w:rsid w:val="00C647F1"/>
    <w:rsid w:val="00C66BF7"/>
    <w:rsid w:val="00C73332"/>
    <w:rsid w:val="00C81DEC"/>
    <w:rsid w:val="00CB4707"/>
    <w:rsid w:val="00CB5C4B"/>
    <w:rsid w:val="00CB78D9"/>
    <w:rsid w:val="00CD4A28"/>
    <w:rsid w:val="00CF5BB2"/>
    <w:rsid w:val="00D15C07"/>
    <w:rsid w:val="00D27FBD"/>
    <w:rsid w:val="00D3182D"/>
    <w:rsid w:val="00D366CA"/>
    <w:rsid w:val="00D41E0A"/>
    <w:rsid w:val="00D467C3"/>
    <w:rsid w:val="00D52822"/>
    <w:rsid w:val="00D56028"/>
    <w:rsid w:val="00D61885"/>
    <w:rsid w:val="00D62346"/>
    <w:rsid w:val="00D65745"/>
    <w:rsid w:val="00D778B8"/>
    <w:rsid w:val="00DA2F71"/>
    <w:rsid w:val="00DA53FF"/>
    <w:rsid w:val="00DA63CD"/>
    <w:rsid w:val="00DB5F45"/>
    <w:rsid w:val="00DE1838"/>
    <w:rsid w:val="00DF4035"/>
    <w:rsid w:val="00E00B50"/>
    <w:rsid w:val="00E01EAC"/>
    <w:rsid w:val="00E30B12"/>
    <w:rsid w:val="00E3642F"/>
    <w:rsid w:val="00E54D8C"/>
    <w:rsid w:val="00E87DDF"/>
    <w:rsid w:val="00E90CD5"/>
    <w:rsid w:val="00EA065F"/>
    <w:rsid w:val="00EA4C45"/>
    <w:rsid w:val="00EA6EE3"/>
    <w:rsid w:val="00EB57AA"/>
    <w:rsid w:val="00F24881"/>
    <w:rsid w:val="00F372C0"/>
    <w:rsid w:val="00F5642F"/>
    <w:rsid w:val="00F71D78"/>
    <w:rsid w:val="00F97793"/>
    <w:rsid w:val="00FB3F21"/>
    <w:rsid w:val="00FB6917"/>
    <w:rsid w:val="00FC0BAA"/>
    <w:rsid w:val="00FC3C3A"/>
    <w:rsid w:val="00FD0C25"/>
    <w:rsid w:val="00FE2476"/>
    <w:rsid w:val="00FE7C06"/>
    <w:rsid w:val="00FF54EA"/>
    <w:rsid w:val="00FF5BB5"/>
    <w:rsid w:val="027D03C9"/>
    <w:rsid w:val="0994C1B7"/>
    <w:rsid w:val="0A96BDD2"/>
    <w:rsid w:val="0C6F7D10"/>
    <w:rsid w:val="1018049F"/>
    <w:rsid w:val="1083831A"/>
    <w:rsid w:val="14D9E483"/>
    <w:rsid w:val="15E012AC"/>
    <w:rsid w:val="18A0FD4A"/>
    <w:rsid w:val="18D4366F"/>
    <w:rsid w:val="1942FF19"/>
    <w:rsid w:val="1CEA73C9"/>
    <w:rsid w:val="1EB0FF57"/>
    <w:rsid w:val="1F1DD207"/>
    <w:rsid w:val="1FCEF24C"/>
    <w:rsid w:val="370CCF34"/>
    <w:rsid w:val="3B44EC2E"/>
    <w:rsid w:val="3EC3C465"/>
    <w:rsid w:val="406F5F98"/>
    <w:rsid w:val="46BFAFB6"/>
    <w:rsid w:val="473878D2"/>
    <w:rsid w:val="4A639817"/>
    <w:rsid w:val="4BA2FF81"/>
    <w:rsid w:val="5003DDAD"/>
    <w:rsid w:val="5938F18D"/>
    <w:rsid w:val="5F8F0AB4"/>
    <w:rsid w:val="6ABA1CAC"/>
    <w:rsid w:val="6C1A06D6"/>
    <w:rsid w:val="6F299657"/>
    <w:rsid w:val="72E4BCC6"/>
    <w:rsid w:val="7AA3D899"/>
    <w:rsid w:val="7C501EF9"/>
    <w:rsid w:val="7C7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9307"/>
  <w15:chartTrackingRefBased/>
  <w15:docId w15:val="{D9B69727-961B-4B33-8D83-63445FB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2E"/>
    <w:pPr>
      <w:spacing w:before="100" w:after="200" w:line="276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E6D55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6D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5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D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D55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E6D5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D55"/>
    <w:rPr>
      <w:b/>
      <w:bCs/>
    </w:rPr>
  </w:style>
  <w:style w:type="character" w:styleId="Emphasis">
    <w:name w:val="Emphasis"/>
    <w:basedOn w:val="DefaultParagraphFont"/>
    <w:uiPriority w:val="20"/>
    <w:qFormat/>
    <w:rsid w:val="006E6D55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81A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451983"/>
  </w:style>
  <w:style w:type="character" w:styleId="PlaceholderText">
    <w:name w:val="Placeholder Text"/>
    <w:basedOn w:val="DefaultParagraphFont"/>
    <w:uiPriority w:val="99"/>
    <w:semiHidden/>
    <w:rsid w:val="00F372C0"/>
    <w:rPr>
      <w:color w:val="808080"/>
    </w:rPr>
  </w:style>
  <w:style w:type="character" w:customStyle="1" w:styleId="underline">
    <w:name w:val="underline"/>
    <w:basedOn w:val="DefaultParagraphFont"/>
    <w:rsid w:val="005F4B7B"/>
  </w:style>
  <w:style w:type="character" w:styleId="CommentReference">
    <w:name w:val="annotation reference"/>
    <w:basedOn w:val="DefaultParagraphFont"/>
    <w:uiPriority w:val="99"/>
    <w:semiHidden/>
    <w:unhideWhenUsed/>
    <w:rsid w:val="0050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0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0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3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D08E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E12"/>
    <w:rPr>
      <w:color w:val="70B86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emicadmin.arizona.edu/sites/default/files/contact_hour_definition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ursedog-static-public.s3.us-east-2.amazonaws.com/arizona_peoplesoft/Component%20Handout.pdf" TargetMode="External"/><Relationship Id="rId17" Type="http://schemas.openxmlformats.org/officeDocument/2006/relationships/hyperlink" Target="https://catalog.arizona.edu/policy/university-wide-house-numbered-cour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ursedog-static-public.s3.us-east-2.amazonaws.com/arizona_peoplesoft/27230141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arizona.edu/policy/courses-credit/courses/course-types-compon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ursedog-static-public.s3.us-east-2.amazonaws.com/arizona_peoplesoft/Component%20Handout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.arizona.edu/policy/courses-credit/courses/house-numbered-cours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B43-370C-4B13-AF4F-1C9F73E566A9}"/>
      </w:docPartPr>
      <w:docPartBody>
        <w:p w:rsidR="004D2079" w:rsidRDefault="001E1B20">
          <w:r w:rsidRPr="00886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298F55E1B40BB939BC88D8C74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C72C-C3EA-48AD-82FD-1CB572BFE1D4}"/>
      </w:docPartPr>
      <w:docPartBody>
        <w:p w:rsidR="003F47FE" w:rsidRDefault="00D233FC" w:rsidP="00D233FC">
          <w:pPr>
            <w:pStyle w:val="E48298F55E1B40BB939BC88D8C749EB2"/>
          </w:pPr>
          <w:r w:rsidRPr="00886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551D403E94A45A1DB6DA1001D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D52B-8E0B-43DD-98C2-936AB078019D}"/>
      </w:docPartPr>
      <w:docPartBody>
        <w:p w:rsidR="00975560" w:rsidRDefault="007F48EA" w:rsidP="007F48EA">
          <w:pPr>
            <w:pStyle w:val="657551D403E94A45A1DB6DA1001D3E8F"/>
          </w:pPr>
          <w:r w:rsidRPr="00886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0305B8"/>
    <w:rsid w:val="000827C0"/>
    <w:rsid w:val="000955E3"/>
    <w:rsid w:val="001E1B20"/>
    <w:rsid w:val="00276F28"/>
    <w:rsid w:val="003F47FE"/>
    <w:rsid w:val="004025CD"/>
    <w:rsid w:val="004813FE"/>
    <w:rsid w:val="004D2079"/>
    <w:rsid w:val="005F1B12"/>
    <w:rsid w:val="006442E3"/>
    <w:rsid w:val="00763DD2"/>
    <w:rsid w:val="007F48EA"/>
    <w:rsid w:val="00814A53"/>
    <w:rsid w:val="008A5A09"/>
    <w:rsid w:val="00906912"/>
    <w:rsid w:val="00975560"/>
    <w:rsid w:val="00B575A7"/>
    <w:rsid w:val="00D233FC"/>
    <w:rsid w:val="00D2770C"/>
    <w:rsid w:val="00E0027C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8EA"/>
    <w:rPr>
      <w:color w:val="808080"/>
    </w:rPr>
  </w:style>
  <w:style w:type="paragraph" w:customStyle="1" w:styleId="E48298F55E1B40BB939BC88D8C749EB2">
    <w:name w:val="E48298F55E1B40BB939BC88D8C749EB2"/>
    <w:rsid w:val="00D233FC"/>
  </w:style>
  <w:style w:type="paragraph" w:customStyle="1" w:styleId="657551D403E94A45A1DB6DA1001D3E8F">
    <w:name w:val="657551D403E94A45A1DB6DA1001D3E8F"/>
    <w:rsid w:val="007F48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A_Registrar">
  <a:themeElements>
    <a:clrScheme name="UA Color Palette">
      <a:dk1>
        <a:srgbClr val="000000"/>
      </a:dk1>
      <a:lt1>
        <a:srgbClr val="FFFFFF"/>
      </a:lt1>
      <a:dk2>
        <a:srgbClr val="E2E9EB"/>
      </a:dk2>
      <a:lt2>
        <a:srgbClr val="F4EDE5"/>
      </a:lt2>
      <a:accent1>
        <a:srgbClr val="AB0520"/>
      </a:accent1>
      <a:accent2>
        <a:srgbClr val="0C234B"/>
      </a:accent2>
      <a:accent3>
        <a:srgbClr val="EF4056"/>
      </a:accent3>
      <a:accent4>
        <a:srgbClr val="81D3EB"/>
      </a:accent4>
      <a:accent5>
        <a:srgbClr val="8B0015"/>
      </a:accent5>
      <a:accent6>
        <a:srgbClr val="1E5288"/>
      </a:accent6>
      <a:hlink>
        <a:srgbClr val="378DBD"/>
      </a:hlink>
      <a:folHlink>
        <a:srgbClr val="70B865"/>
      </a:folHlink>
    </a:clrScheme>
    <a:fontScheme name="Default - Title Slide">
      <a:majorFont>
        <a:latin typeface="Calibri"/>
        <a:ea typeface="ヒラギノ角ゴ ProN W3"/>
        <a:cs typeface="ヒラギノ角ゴ ProN W3"/>
      </a:majorFont>
      <a:minorFont>
        <a:latin typeface="Calibri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lnDef>
    <a:txDef>
      <a:spPr bwMode="auto">
        <a:noFill/>
        <a:ln>
          <a:noFill/>
        </a:ln>
        <a:effectLst/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  <a:ext uri="{FAA26D3D-D897-4be2-8F04-BA451C77F1D7}">
            <ma14:placeholderFlag xmlns="" xmlns:ma14="http://schemas.microsoft.com/office/mac/drawingml/2011/main" val="1"/>
          </a:ext>
        </a:extLst>
      </a:spPr>
      <a:bodyPr vert="horz" wrap="square" lIns="38100" tIns="38100" rIns="38100" bIns="38100" numCol="1" anchor="ctr" anchorCtr="0" compatLnSpc="1">
        <a:prstTxWarp prst="textNoShape">
          <a:avLst/>
        </a:prstTxWarp>
      </a:bodyPr>
      <a:lstStyle>
        <a:defPPr>
          <a:defRPr sz="3400" b="0" i="0" dirty="0" smtClean="0">
            <a:latin typeface="Times New Roman"/>
          </a:defRPr>
        </a:defPPr>
      </a:lstStyle>
    </a:txDef>
  </a:objectDefaults>
  <a:extraClrSchemeLst>
    <a:extraClrScheme>
      <a:clrScheme name="Default -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A_Registrar" id="{EF3BBEEA-E215-4B0F-BBCB-26EF09EEE647}" vid="{528E58E2-7A8F-4C96-94FF-9A2168DAE5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5F56F6061E64689EAFA90D26A7E18" ma:contentTypeVersion="5" ma:contentTypeDescription="Create a new document." ma:contentTypeScope="" ma:versionID="c620f5dd65477d08545d06aff7d87e6d">
  <xsd:schema xmlns:xsd="http://www.w3.org/2001/XMLSchema" xmlns:xs="http://www.w3.org/2001/XMLSchema" xmlns:p="http://schemas.microsoft.com/office/2006/metadata/properties" xmlns:ns2="70931a3f-c727-45b4-adc7-e3f907e5eefd" xmlns:ns3="38e65459-93d5-4e2b-8b64-e5139aaea36b" targetNamespace="http://schemas.microsoft.com/office/2006/metadata/properties" ma:root="true" ma:fieldsID="6b2312cf0015787a018bc23c89c6ab1e" ns2:_="" ns3:_="">
    <xsd:import namespace="70931a3f-c727-45b4-adc7-e3f907e5eefd"/>
    <xsd:import namespace="38e65459-93d5-4e2b-8b64-e5139aaea3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5459-93d5-4e2b-8b64-e5139aae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FWX4FJ7X4RDS-913105364-380969</_dlc_DocId>
    <_dlc_DocIdUrl xmlns="70931a3f-c727-45b4-adc7-e3f907e5eefd">
      <Url>https://emailarizona.sharepoint.com/sites/REG-Registrar/_layouts/15/DocIdRedir.aspx?ID=FWX4FJ7X4RDS-913105364-380969</Url>
      <Description>FWX4FJ7X4RDS-913105364-380969</Description>
    </_dlc_DocIdUrl>
  </documentManagement>
</p:properties>
</file>

<file path=customXml/itemProps1.xml><?xml version="1.0" encoding="utf-8"?>
<ds:datastoreItem xmlns:ds="http://schemas.openxmlformats.org/officeDocument/2006/customXml" ds:itemID="{686EB752-09F2-4A7F-8B61-3AEA51A3E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38e65459-93d5-4e2b-8b64-e5139aae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4F285-711A-4FC4-8748-E38A1BB199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DF5CA1-0C77-4A48-B3F1-DD57DE495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8BCE8-72D0-48E0-821C-F963E2D62711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Links>
    <vt:vector size="54" baseType="variant">
      <vt:variant>
        <vt:i4>5701700</vt:i4>
      </vt:variant>
      <vt:variant>
        <vt:i4>21</vt:i4>
      </vt:variant>
      <vt:variant>
        <vt:i4>0</vt:i4>
      </vt:variant>
      <vt:variant>
        <vt:i4>5</vt:i4>
      </vt:variant>
      <vt:variant>
        <vt:lpwstr>https://academicadmin.arizona.edu/sites/default/files/contact_hour_definitions.pdf</vt:lpwstr>
      </vt:variant>
      <vt:variant>
        <vt:lpwstr/>
      </vt:variant>
      <vt:variant>
        <vt:i4>2752629</vt:i4>
      </vt:variant>
      <vt:variant>
        <vt:i4>18</vt:i4>
      </vt:variant>
      <vt:variant>
        <vt:i4>0</vt:i4>
      </vt:variant>
      <vt:variant>
        <vt:i4>5</vt:i4>
      </vt:variant>
      <vt:variant>
        <vt:lpwstr>https://catalog.arizona.edu/policy/university-wide-house-numbered-courses</vt:lpwstr>
      </vt:variant>
      <vt:variant>
        <vt:lpwstr>individual</vt:lpwstr>
      </vt:variant>
      <vt:variant>
        <vt:i4>8323149</vt:i4>
      </vt:variant>
      <vt:variant>
        <vt:i4>15</vt:i4>
      </vt:variant>
      <vt:variant>
        <vt:i4>0</vt:i4>
      </vt:variant>
      <vt:variant>
        <vt:i4>5</vt:i4>
      </vt:variant>
      <vt:variant>
        <vt:lpwstr>https://coursedog-static-public.s3.us-east-2.amazonaws.com/arizona_peoplesoft/27230141.pdf</vt:lpwstr>
      </vt:variant>
      <vt:variant>
        <vt:lpwstr/>
      </vt:variant>
      <vt:variant>
        <vt:i4>6815774</vt:i4>
      </vt:variant>
      <vt:variant>
        <vt:i4>12</vt:i4>
      </vt:variant>
      <vt:variant>
        <vt:i4>0</vt:i4>
      </vt:variant>
      <vt:variant>
        <vt:i4>5</vt:i4>
      </vt:variant>
      <vt:variant>
        <vt:lpwstr>https://coursedog-static-public.s3.us-east-2.amazonaws.com/arizona_peoplesoft/Component Handout.pdf</vt:lpwstr>
      </vt:variant>
      <vt:variant>
        <vt:lpwstr/>
      </vt:variant>
      <vt:variant>
        <vt:i4>720917</vt:i4>
      </vt:variant>
      <vt:variant>
        <vt:i4>9</vt:i4>
      </vt:variant>
      <vt:variant>
        <vt:i4>0</vt:i4>
      </vt:variant>
      <vt:variant>
        <vt:i4>5</vt:i4>
      </vt:variant>
      <vt:variant>
        <vt:lpwstr>https://catalog.arizona.edu/policy/courses-credit/courses/house-numbered-courses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https://academicadmin.arizona.edu/sites/default/files/contact_hour_definitions.pdf</vt:lpwstr>
      </vt:variant>
      <vt:variant>
        <vt:lpwstr/>
      </vt:variant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https://coursedog-static-public.s3.us-east-2.amazonaws.com/arizona_peoplesoft/Component Handout.pdf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https://catalog.arizona.edu/policy/courses-credit/courses/course-types-components</vt:lpwstr>
      </vt:variant>
      <vt:variant>
        <vt:lpwstr/>
      </vt:variant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mailto:cbartlett1@arizona.edu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Alex - (aunderwood)</dc:creator>
  <cp:keywords/>
  <dc:description/>
  <cp:lastModifiedBy>Bartlett, Cassidy - (cbartlett1)</cp:lastModifiedBy>
  <cp:revision>3</cp:revision>
  <dcterms:created xsi:type="dcterms:W3CDTF">2023-11-08T23:11:00Z</dcterms:created>
  <dcterms:modified xsi:type="dcterms:W3CDTF">2023-11-08T23:12:00Z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0x0101000895F56F6061E64689EAFA90D26A7E18</vt:lpwstr>
  </property>
  <property fmtid="{D5CDD505-2E9C-101B-9397-08002B2CF9AE}" pid="3" name="_dlc_DocIdItemGuid">
    <vt:lpwstr>62f53d73-b288-4cb5-84b2-4d95e000a0dd</vt:lpwstr>
  </property>
  <property fmtid="{D5CDD505-2E9C-101B-9397-08002B2CF9AE}" pid="4" name="MediaServiceImageTags">
    <vt:lpwstr/>
  </property>
</Properties>
</file>