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46848FA9" w:rsidR="00F82C15" w:rsidRDefault="00F82C15" w:rsidP="00F82C15">
      <w:pPr>
        <w:jc w:val="center"/>
        <w:rPr>
          <w:b/>
          <w:bCs/>
        </w:rPr>
      </w:pPr>
      <w:r>
        <w:rPr>
          <w:b/>
          <w:bCs/>
        </w:rPr>
        <w:t>Curriculum and Policies Subcommittee Meeting Minutes</w:t>
      </w:r>
      <w:r>
        <w:rPr>
          <w:b/>
          <w:bCs/>
        </w:rPr>
        <w:br/>
      </w:r>
      <w:r w:rsidR="00D26222">
        <w:rPr>
          <w:b/>
          <w:bCs/>
        </w:rPr>
        <w:t>October</w:t>
      </w:r>
      <w:r>
        <w:rPr>
          <w:b/>
          <w:bCs/>
        </w:rPr>
        <w:t xml:space="preserve"> </w:t>
      </w:r>
      <w:r w:rsidR="00E83DAD">
        <w:rPr>
          <w:b/>
          <w:bCs/>
        </w:rPr>
        <w:t>1</w:t>
      </w:r>
      <w:r w:rsidR="00D26222">
        <w:rPr>
          <w:b/>
          <w:bCs/>
        </w:rPr>
        <w:t>0</w:t>
      </w:r>
      <w:r>
        <w:rPr>
          <w:b/>
          <w:bCs/>
        </w:rPr>
        <w:t>, 202</w:t>
      </w:r>
      <w:r w:rsidR="00E83DAD">
        <w:rPr>
          <w:b/>
          <w:bCs/>
        </w:rPr>
        <w:t>3</w:t>
      </w:r>
    </w:p>
    <w:p w14:paraId="267D6087" w14:textId="7B7C0470" w:rsidR="00F82C15" w:rsidRDefault="00F82C15" w:rsidP="00F82C15">
      <w:r>
        <w:rPr>
          <w:b/>
          <w:bCs/>
        </w:rPr>
        <w:t xml:space="preserve">Voting Members Present: </w:t>
      </w:r>
      <w:r w:rsidR="00E83DAD">
        <w:t>Caleb Simmons</w:t>
      </w:r>
      <w:r>
        <w:t>,</w:t>
      </w:r>
      <w:r w:rsidR="00E83DAD">
        <w:t xml:space="preserve"> Karin Nolan</w:t>
      </w:r>
      <w:r>
        <w:t xml:space="preserve">, </w:t>
      </w:r>
      <w:r w:rsidR="00E83DAD">
        <w:t xml:space="preserve">Amber Rice, </w:t>
      </w:r>
      <w:r w:rsidR="00211DBE">
        <w:t xml:space="preserve">Ally Roof </w:t>
      </w:r>
      <w:r w:rsidR="00211DBE" w:rsidRPr="002F5461">
        <w:t>(Proxy for Claudia Stanescu</w:t>
      </w:r>
      <w:r w:rsidR="002F5461">
        <w:t xml:space="preserve">), </w:t>
      </w:r>
      <w:r w:rsidR="00E83DAD">
        <w:t xml:space="preserve">Dereka Rushbrook, Christopher Sanderson, </w:t>
      </w:r>
      <w:r w:rsidR="006F11AE">
        <w:t xml:space="preserve">Amanda </w:t>
      </w:r>
      <w:proofErr w:type="spellStart"/>
      <w:r w:rsidR="006F11AE">
        <w:t>Sokan</w:t>
      </w:r>
      <w:proofErr w:type="spellEnd"/>
      <w:r w:rsidR="006F11AE">
        <w:t xml:space="preserve">, </w:t>
      </w:r>
      <w:r w:rsidR="00E83DAD">
        <w:t>Travis Spence</w:t>
      </w:r>
      <w:r w:rsidR="00211DBE">
        <w:t>, Joost Van Haren</w:t>
      </w:r>
      <w:r w:rsidR="00E83DAD">
        <w:t>, Jeremy Vetter</w:t>
      </w:r>
    </w:p>
    <w:p w14:paraId="61A0D5F3" w14:textId="5BCA2A56" w:rsidR="00211DBE" w:rsidRDefault="00211DBE" w:rsidP="00F82C15">
      <w:r>
        <w:rPr>
          <w:b/>
          <w:bCs/>
        </w:rPr>
        <w:t xml:space="preserve">Non-voting Members Present: </w:t>
      </w:r>
      <w:r>
        <w:t xml:space="preserve">Cassidy Bartlett, </w:t>
      </w:r>
      <w:r w:rsidR="00E83DAD">
        <w:t xml:space="preserve">Carmin Chan, Holly Nelson, </w:t>
      </w:r>
      <w:r w:rsidR="00160FEE">
        <w:t xml:space="preserve">Abbie </w:t>
      </w:r>
      <w:r>
        <w:t>Sorg, Sharon Aiken-Wisniewski</w:t>
      </w:r>
    </w:p>
    <w:p w14:paraId="6F8CBFFC" w14:textId="732F728B" w:rsidR="001B195D" w:rsidRPr="001B195D" w:rsidRDefault="001B195D" w:rsidP="00F82C15">
      <w:pPr>
        <w:pBdr>
          <w:bottom w:val="single" w:sz="12" w:space="1" w:color="auto"/>
        </w:pBdr>
      </w:pPr>
      <w:r>
        <w:rPr>
          <w:b/>
          <w:bCs/>
        </w:rPr>
        <w:t xml:space="preserve">Guests Present: </w:t>
      </w:r>
      <w:r w:rsidRPr="001B195D">
        <w:t>Rebecca Drake</w:t>
      </w:r>
    </w:p>
    <w:p w14:paraId="380BEECE" w14:textId="0CF8B23D" w:rsidR="00211DBE" w:rsidRDefault="00211DBE" w:rsidP="00F82C15">
      <w:pPr>
        <w:pBdr>
          <w:bottom w:val="single" w:sz="12" w:space="1" w:color="auto"/>
        </w:pBdr>
        <w:rPr>
          <w:color w:val="FF0000"/>
        </w:rPr>
      </w:pPr>
      <w:r>
        <w:rPr>
          <w:b/>
          <w:bCs/>
        </w:rPr>
        <w:t xml:space="preserve">Voting Members Absent: </w:t>
      </w:r>
      <w:r w:rsidR="006F11AE">
        <w:t>Doan Goolsby</w:t>
      </w:r>
    </w:p>
    <w:p w14:paraId="098DA4AE" w14:textId="77777777" w:rsidR="003D5420" w:rsidRDefault="003D5420" w:rsidP="00F82C15">
      <w:pPr>
        <w:pBdr>
          <w:bottom w:val="single" w:sz="12" w:space="1" w:color="auto"/>
        </w:pBdr>
        <w:rPr>
          <w:color w:val="FF0000"/>
        </w:rPr>
      </w:pPr>
    </w:p>
    <w:p w14:paraId="1874BF44" w14:textId="2F3E8BD7" w:rsidR="00211DBE" w:rsidRPr="0002345C" w:rsidRDefault="00211DBE" w:rsidP="00F82C15">
      <w:pPr>
        <w:rPr>
          <w:color w:val="FF0000"/>
        </w:rPr>
      </w:pPr>
      <w:r>
        <w:t xml:space="preserve">Chair Joost Van Haren called the meeting to order at </w:t>
      </w:r>
      <w:r w:rsidR="006C2184">
        <w:t>3:3</w:t>
      </w:r>
      <w:r w:rsidR="00E83DAD">
        <w:t>2</w:t>
      </w:r>
      <w:r w:rsidR="006C2184">
        <w:t xml:space="preserve"> p.m. A quorum was established with </w:t>
      </w:r>
      <w:r w:rsidR="00E83DAD">
        <w:t>9</w:t>
      </w:r>
      <w:r w:rsidR="006C2184">
        <w:t xml:space="preserve"> voting members. </w:t>
      </w:r>
      <w:r w:rsidR="00E83DAD">
        <w:t>One additional member joined after the meeting was called to order.</w:t>
      </w:r>
    </w:p>
    <w:p w14:paraId="1E3B7D87" w14:textId="77777777" w:rsidR="006C2184" w:rsidRDefault="006C2184" w:rsidP="006C2184">
      <w:pPr>
        <w:pStyle w:val="ListParagraph"/>
        <w:ind w:left="1080"/>
      </w:pPr>
    </w:p>
    <w:p w14:paraId="679CD201" w14:textId="725FF0DD" w:rsidR="006F11AE" w:rsidRDefault="006F11AE" w:rsidP="00205CD4">
      <w:pPr>
        <w:pStyle w:val="ListParagraph"/>
        <w:numPr>
          <w:ilvl w:val="0"/>
          <w:numId w:val="1"/>
        </w:numPr>
        <w:rPr>
          <w:b/>
          <w:bCs/>
        </w:rPr>
      </w:pPr>
      <w:r>
        <w:rPr>
          <w:b/>
          <w:bCs/>
        </w:rPr>
        <w:t>Approval of Curriculum &amp; Policies Subcommittee meeting minutes, 9/12/2023</w:t>
      </w:r>
    </w:p>
    <w:p w14:paraId="05229FCC" w14:textId="3A078D48" w:rsidR="006F11AE" w:rsidRDefault="006F11AE" w:rsidP="006F11AE">
      <w:pPr>
        <w:pStyle w:val="ListParagraph"/>
        <w:ind w:left="1080"/>
      </w:pPr>
      <w:r>
        <w:t xml:space="preserve">Christopher Sanderson motioned to accept the meeting minutes from 9/12/2023 with suggested updates. </w:t>
      </w:r>
      <w:r w:rsidR="00EC40F7">
        <w:t>Travis Spence seconded the motion. The motion passed with</w:t>
      </w:r>
      <w:r>
        <w:t xml:space="preserve"> </w:t>
      </w:r>
      <w:r w:rsidR="00764241">
        <w:t>9 votes in favor and 1 abstention.</w:t>
      </w:r>
    </w:p>
    <w:p w14:paraId="17528B41" w14:textId="77777777" w:rsidR="00764241" w:rsidRPr="006F11AE" w:rsidRDefault="00764241" w:rsidP="006F11AE">
      <w:pPr>
        <w:pStyle w:val="ListParagraph"/>
        <w:ind w:left="1080"/>
      </w:pPr>
    </w:p>
    <w:p w14:paraId="77CEE5D0" w14:textId="7D8099A1" w:rsidR="00B95D7B" w:rsidRPr="00205CD4" w:rsidRDefault="00764241" w:rsidP="00205CD4">
      <w:pPr>
        <w:pStyle w:val="ListParagraph"/>
        <w:numPr>
          <w:ilvl w:val="0"/>
          <w:numId w:val="1"/>
        </w:numPr>
        <w:rPr>
          <w:b/>
          <w:bCs/>
        </w:rPr>
      </w:pPr>
      <w:r>
        <w:rPr>
          <w:b/>
          <w:bCs/>
        </w:rPr>
        <w:t>Discussion Items</w:t>
      </w:r>
    </w:p>
    <w:p w14:paraId="68D00A9F" w14:textId="213A7CB2" w:rsidR="00735DEB" w:rsidRPr="00735DEB" w:rsidRDefault="00572601" w:rsidP="00735DEB">
      <w:pPr>
        <w:pStyle w:val="ListParagraph"/>
        <w:numPr>
          <w:ilvl w:val="0"/>
          <w:numId w:val="3"/>
        </w:numPr>
        <w:rPr>
          <w:b/>
          <w:bCs/>
        </w:rPr>
      </w:pPr>
      <w:r>
        <w:rPr>
          <w:b/>
          <w:bCs/>
        </w:rPr>
        <w:t>Double</w:t>
      </w:r>
      <w:r w:rsidR="00764241">
        <w:rPr>
          <w:b/>
          <w:bCs/>
        </w:rPr>
        <w:t xml:space="preserve"> Use of Courses</w:t>
      </w:r>
      <w:r w:rsidR="00735DEB">
        <w:rPr>
          <w:b/>
          <w:bCs/>
        </w:rPr>
        <w:br/>
      </w:r>
      <w:r w:rsidR="006F2BC2">
        <w:rPr>
          <w:b/>
          <w:bCs/>
        </w:rPr>
        <w:t>Presenter</w:t>
      </w:r>
      <w:r w:rsidR="00E83DAD">
        <w:rPr>
          <w:b/>
          <w:bCs/>
        </w:rPr>
        <w:t>s</w:t>
      </w:r>
      <w:r w:rsidR="006F2BC2">
        <w:rPr>
          <w:b/>
          <w:bCs/>
        </w:rPr>
        <w:t xml:space="preserve">: </w:t>
      </w:r>
      <w:r w:rsidR="00764241">
        <w:t>Sharon Aiken-Wisniewski</w:t>
      </w:r>
    </w:p>
    <w:p w14:paraId="69D0FA3B" w14:textId="162BA53C" w:rsidR="00641BA8" w:rsidRDefault="00D5154E" w:rsidP="004B557E">
      <w:pPr>
        <w:ind w:left="1080"/>
      </w:pPr>
      <w:r>
        <w:t>M</w:t>
      </w:r>
      <w:r w:rsidR="006A4A26">
        <w:t>embers wer</w:t>
      </w:r>
      <w:r w:rsidR="00641BA8">
        <w:t xml:space="preserve">e </w:t>
      </w:r>
      <w:r w:rsidR="00F81D2C">
        <w:t>reminded that</w:t>
      </w:r>
      <w:r w:rsidR="00E842BF">
        <w:t xml:space="preserve"> when</w:t>
      </w:r>
      <w:r w:rsidR="00F81D2C">
        <w:t xml:space="preserve"> </w:t>
      </w:r>
      <w:r w:rsidR="00E842BF">
        <w:t xml:space="preserve">this policy was previously discussed in Spring 2023, the subcommittee had decided to form a </w:t>
      </w:r>
      <w:r w:rsidR="769FF27E">
        <w:t>small group</w:t>
      </w:r>
      <w:r w:rsidR="00E842BF">
        <w:t xml:space="preserve"> to </w:t>
      </w:r>
      <w:r>
        <w:t xml:space="preserve">continue working on </w:t>
      </w:r>
      <w:r w:rsidR="00B5526A">
        <w:t xml:space="preserve">and gathering feedback for </w:t>
      </w:r>
      <w:r>
        <w:t>the policy proposal over the summer.</w:t>
      </w:r>
      <w:r w:rsidR="00E842BF">
        <w:t xml:space="preserve"> </w:t>
      </w:r>
      <w:r w:rsidR="00641BA8">
        <w:t xml:space="preserve">The </w:t>
      </w:r>
      <w:r w:rsidR="00074322">
        <w:t>group</w:t>
      </w:r>
      <w:r w:rsidR="00641BA8">
        <w:t xml:space="preserve"> </w:t>
      </w:r>
      <w:r w:rsidR="004B557E">
        <w:t>proposed</w:t>
      </w:r>
      <w:r w:rsidR="00641BA8">
        <w:t xml:space="preserve"> </w:t>
      </w:r>
      <w:r w:rsidR="00356CFB">
        <w:t>the following</w:t>
      </w:r>
      <w:r w:rsidR="00641BA8">
        <w:t xml:space="preserve"> recommendations:</w:t>
      </w:r>
    </w:p>
    <w:p w14:paraId="20750813" w14:textId="4B966A78" w:rsidR="008A4B9B" w:rsidRDefault="00641BA8" w:rsidP="00641BA8">
      <w:pPr>
        <w:pStyle w:val="ListParagraph"/>
        <w:numPr>
          <w:ilvl w:val="0"/>
          <w:numId w:val="11"/>
        </w:numPr>
      </w:pPr>
      <w:r>
        <w:t>to amend the limit to 3 courses and 10 credits</w:t>
      </w:r>
      <w:r w:rsidR="00E972B4">
        <w:t xml:space="preserve">, allowing students to </w:t>
      </w:r>
      <w:proofErr w:type="gramStart"/>
      <w:r w:rsidR="00E972B4">
        <w:t>apply</w:t>
      </w:r>
      <w:proofErr w:type="gramEnd"/>
      <w:r w:rsidR="00E972B4">
        <w:t xml:space="preserve"> a 4-credit Exploring Perspectives/Building Connections course</w:t>
      </w:r>
      <w:r w:rsidR="00F643A6">
        <w:t xml:space="preserve"> (such as a lab or </w:t>
      </w:r>
      <w:r w:rsidR="00596AF4">
        <w:t>Psychology 101).</w:t>
      </w:r>
    </w:p>
    <w:p w14:paraId="222FFC2E" w14:textId="35C7F7E1" w:rsidR="005F4FD8" w:rsidRDefault="00641BA8" w:rsidP="00641BA8">
      <w:pPr>
        <w:pStyle w:val="ListParagraph"/>
        <w:numPr>
          <w:ilvl w:val="0"/>
          <w:numId w:val="11"/>
        </w:numPr>
      </w:pPr>
      <w:r>
        <w:t xml:space="preserve">to allow credits to </w:t>
      </w:r>
      <w:r w:rsidR="00356CFB">
        <w:t xml:space="preserve">apply to more than 2 requirement areas, such as </w:t>
      </w:r>
      <w:r>
        <w:t xml:space="preserve">general education, a major, minor, and/or certificate. </w:t>
      </w:r>
      <w:r w:rsidR="005F4FD8">
        <w:t xml:space="preserve">This </w:t>
      </w:r>
      <w:r w:rsidR="00356CFB">
        <w:t>would</w:t>
      </w:r>
      <w:r w:rsidR="005F4FD8">
        <w:t xml:space="preserve"> be reflected in the title of the policy; “Multiple Use of Courses” instead of Double Use, which currently is a matter of confusion for students and staff. </w:t>
      </w:r>
    </w:p>
    <w:p w14:paraId="5E17B9BE" w14:textId="290BDCF0" w:rsidR="00641BA8" w:rsidRDefault="004B557E" w:rsidP="00356CFB">
      <w:pPr>
        <w:pStyle w:val="ListParagraph"/>
        <w:numPr>
          <w:ilvl w:val="0"/>
          <w:numId w:val="11"/>
        </w:numPr>
      </w:pPr>
      <w:r>
        <w:t>t</w:t>
      </w:r>
      <w:r w:rsidR="00356CFB">
        <w:t>o clarify that these</w:t>
      </w:r>
      <w:r w:rsidR="00641BA8">
        <w:t xml:space="preserve"> </w:t>
      </w:r>
      <w:r w:rsidR="00356CFB">
        <w:t>updates do</w:t>
      </w:r>
      <w:r w:rsidR="00641BA8">
        <w:t xml:space="preserve"> not override the current policy on Undergraduate Certificates</w:t>
      </w:r>
      <w:r w:rsidR="00356CFB">
        <w:t>, which</w:t>
      </w:r>
      <w:r w:rsidR="00641BA8">
        <w:t xml:space="preserve"> require certificate coursework to be at least 50% exclusive to the certificate.</w:t>
      </w:r>
    </w:p>
    <w:p w14:paraId="573DB5EF" w14:textId="41B4B53B" w:rsidR="006A4A26" w:rsidRPr="006A4A26" w:rsidRDefault="006A4A26" w:rsidP="00D65FF9">
      <w:pPr>
        <w:ind w:left="1080"/>
        <w:rPr>
          <w:u w:val="single"/>
        </w:rPr>
      </w:pPr>
      <w:r w:rsidRPr="006A4A26">
        <w:rPr>
          <w:u w:val="single"/>
        </w:rPr>
        <w:t>Discussion began:</w:t>
      </w:r>
    </w:p>
    <w:p w14:paraId="02D5441C" w14:textId="3CDADD73" w:rsidR="00C905A1" w:rsidRDefault="006A4A26" w:rsidP="005F4FD8">
      <w:pPr>
        <w:pStyle w:val="ListParagraph"/>
        <w:numPr>
          <w:ilvl w:val="0"/>
          <w:numId w:val="9"/>
        </w:numPr>
      </w:pPr>
      <w:r>
        <w:t xml:space="preserve">One member </w:t>
      </w:r>
      <w:r w:rsidR="005F4FD8">
        <w:t xml:space="preserve">asked for confirmation that a student could not </w:t>
      </w:r>
      <w:proofErr w:type="gramStart"/>
      <w:r w:rsidR="005F4FD8">
        <w:t>apply</w:t>
      </w:r>
      <w:proofErr w:type="gramEnd"/>
      <w:r w:rsidR="005F4FD8">
        <w:t xml:space="preserve"> two 4-unit courses and one 3-unit course</w:t>
      </w:r>
      <w:r w:rsidR="00356CFB">
        <w:t xml:space="preserve">, as this totals 11 credits. </w:t>
      </w:r>
    </w:p>
    <w:p w14:paraId="70585415" w14:textId="597C0D6E" w:rsidR="005F4FD8" w:rsidRDefault="005F4FD8" w:rsidP="005F4FD8">
      <w:pPr>
        <w:pStyle w:val="ListParagraph"/>
        <w:numPr>
          <w:ilvl w:val="1"/>
          <w:numId w:val="9"/>
        </w:numPr>
      </w:pPr>
      <w:r>
        <w:lastRenderedPageBreak/>
        <w:t xml:space="preserve">The </w:t>
      </w:r>
      <w:r w:rsidR="00074322">
        <w:t>small group</w:t>
      </w:r>
      <w:r>
        <w:t xml:space="preserve"> confirmed this </w:t>
      </w:r>
      <w:r w:rsidR="00356CFB">
        <w:t>would be</w:t>
      </w:r>
      <w:r>
        <w:t xml:space="preserve"> the case</w:t>
      </w:r>
      <w:r w:rsidR="00356CFB">
        <w:t xml:space="preserve"> with the proposed </w:t>
      </w:r>
      <w:r w:rsidR="004B557E">
        <w:t>limitations</w:t>
      </w:r>
      <w:r w:rsidR="00356CFB">
        <w:t>,</w:t>
      </w:r>
      <w:r>
        <w:t xml:space="preserve"> and that staff within the advising community </w:t>
      </w:r>
      <w:r w:rsidR="00356CFB">
        <w:t>had been interested</w:t>
      </w:r>
      <w:r>
        <w:t xml:space="preserve"> </w:t>
      </w:r>
      <w:r w:rsidR="00356CFB">
        <w:t>in</w:t>
      </w:r>
      <w:r>
        <w:t xml:space="preserve"> </w:t>
      </w:r>
      <w:r w:rsidR="00244DFB">
        <w:t>wording</w:t>
      </w:r>
      <w:r w:rsidR="00356CFB">
        <w:t xml:space="preserve"> </w:t>
      </w:r>
      <w:r>
        <w:t xml:space="preserve">the stipulation </w:t>
      </w:r>
      <w:r w:rsidR="00356CFB">
        <w:t>a</w:t>
      </w:r>
      <w:r w:rsidR="00244DFB">
        <w:t>s</w:t>
      </w:r>
      <w:r w:rsidR="00356CFB">
        <w:t xml:space="preserve"> 3 courses with no credit limit.</w:t>
      </w:r>
    </w:p>
    <w:p w14:paraId="72FDB5F0" w14:textId="2E78F339" w:rsidR="00155959" w:rsidRDefault="00C56D61" w:rsidP="005F4FD8">
      <w:pPr>
        <w:pStyle w:val="ListParagraph"/>
        <w:numPr>
          <w:ilvl w:val="0"/>
          <w:numId w:val="9"/>
        </w:numPr>
      </w:pPr>
      <w:r>
        <w:t xml:space="preserve">A </w:t>
      </w:r>
      <w:r w:rsidR="00610916">
        <w:t>sub</w:t>
      </w:r>
      <w:r>
        <w:t xml:space="preserve">committee member </w:t>
      </w:r>
      <w:r w:rsidR="00027D9F">
        <w:t>questioned the classification of second semester courses as General Education courses</w:t>
      </w:r>
      <w:r w:rsidR="00616843">
        <w:t>, as the first semester would satisfy the requirement.</w:t>
      </w:r>
    </w:p>
    <w:p w14:paraId="74E87D31" w14:textId="77777777" w:rsidR="000F2C04" w:rsidRDefault="00F43824" w:rsidP="000F2C04">
      <w:pPr>
        <w:pStyle w:val="ListParagraph"/>
        <w:numPr>
          <w:ilvl w:val="1"/>
          <w:numId w:val="9"/>
        </w:numPr>
      </w:pPr>
      <w:r>
        <w:t>A</w:t>
      </w:r>
      <w:r w:rsidR="00AD15E0">
        <w:t xml:space="preserve">nother member pointed out that </w:t>
      </w:r>
      <w:r w:rsidR="005607C1">
        <w:t xml:space="preserve">transfer students or those with </w:t>
      </w:r>
      <w:r w:rsidR="00EA4FB7">
        <w:t xml:space="preserve">AP credit </w:t>
      </w:r>
      <w:r w:rsidR="005607C1">
        <w:t>may bring in first-semester credit</w:t>
      </w:r>
      <w:r w:rsidR="00EA4FB7">
        <w:t xml:space="preserve">. </w:t>
      </w:r>
    </w:p>
    <w:p w14:paraId="393B784C" w14:textId="5ADD3FE1" w:rsidR="00F43824" w:rsidRDefault="00EA4FB7" w:rsidP="000F2C04">
      <w:pPr>
        <w:pStyle w:val="ListParagraph"/>
        <w:numPr>
          <w:ilvl w:val="1"/>
          <w:numId w:val="9"/>
        </w:numPr>
      </w:pPr>
      <w:r>
        <w:t>A</w:t>
      </w:r>
      <w:r w:rsidR="00F43824">
        <w:t xml:space="preserve"> small group member </w:t>
      </w:r>
      <w:r w:rsidR="000838E3">
        <w:t xml:space="preserve">agreed to </w:t>
      </w:r>
      <w:proofErr w:type="gramStart"/>
      <w:r w:rsidR="000838E3">
        <w:t>look into</w:t>
      </w:r>
      <w:proofErr w:type="gramEnd"/>
      <w:r w:rsidR="000838E3">
        <w:t xml:space="preserve"> whether </w:t>
      </w:r>
      <w:r w:rsidR="00074C94">
        <w:t>these cases would satisfy the General Education requirement</w:t>
      </w:r>
      <w:r w:rsidR="00ED0771">
        <w:t>, or if the student would need to take the second semester.</w:t>
      </w:r>
    </w:p>
    <w:p w14:paraId="7E6FE91F" w14:textId="46BE3FDD" w:rsidR="00577240" w:rsidRDefault="00CD0946" w:rsidP="005F4FD8">
      <w:pPr>
        <w:pStyle w:val="ListParagraph"/>
        <w:numPr>
          <w:ilvl w:val="0"/>
          <w:numId w:val="9"/>
        </w:numPr>
      </w:pPr>
      <w:r>
        <w:t xml:space="preserve">One subcommittee member questioned </w:t>
      </w:r>
      <w:r w:rsidR="007A1184">
        <w:t xml:space="preserve">how General Education credit would </w:t>
      </w:r>
      <w:proofErr w:type="gramStart"/>
      <w:r w:rsidR="007A1184">
        <w:t>transfer in</w:t>
      </w:r>
      <w:proofErr w:type="gramEnd"/>
      <w:r w:rsidR="007A1184">
        <w:t xml:space="preserve"> from an institution with a quarter-based system.</w:t>
      </w:r>
    </w:p>
    <w:p w14:paraId="56F5A225" w14:textId="4329DF28" w:rsidR="00AF4A22" w:rsidRDefault="00AF4A22" w:rsidP="00AF4A22">
      <w:pPr>
        <w:pStyle w:val="ListParagraph"/>
        <w:numPr>
          <w:ilvl w:val="1"/>
          <w:numId w:val="9"/>
        </w:numPr>
      </w:pPr>
      <w:r>
        <w:t xml:space="preserve">A small group member </w:t>
      </w:r>
      <w:r w:rsidR="001A6F1D">
        <w:t>explained that advisement reports are built to accept 2.67 credits</w:t>
      </w:r>
      <w:r w:rsidR="00EA2018">
        <w:t xml:space="preserve">, </w:t>
      </w:r>
      <w:r w:rsidR="001D4B01">
        <w:t>so transfer students from quarter-based institutions would still meet requirements.</w:t>
      </w:r>
    </w:p>
    <w:p w14:paraId="5E5C68E1" w14:textId="6BBAAD4D" w:rsidR="005F4FD8" w:rsidRDefault="00E67D8B" w:rsidP="005F4FD8">
      <w:pPr>
        <w:pStyle w:val="ListParagraph"/>
        <w:numPr>
          <w:ilvl w:val="0"/>
          <w:numId w:val="9"/>
        </w:numPr>
      </w:pPr>
      <w:r>
        <w:t xml:space="preserve">The idea of having a course limit and no specified credit limit was again raised. </w:t>
      </w:r>
      <w:r w:rsidR="005F4FD8">
        <w:t>A</w:t>
      </w:r>
      <w:r w:rsidR="000F2C04">
        <w:t xml:space="preserve"> small</w:t>
      </w:r>
      <w:r w:rsidR="005F4FD8">
        <w:t xml:space="preserve"> </w:t>
      </w:r>
      <w:r w:rsidR="00074322">
        <w:t>group</w:t>
      </w:r>
      <w:r w:rsidR="00356CFB">
        <w:t xml:space="preserve"> </w:t>
      </w:r>
      <w:r w:rsidR="005F4FD8">
        <w:t xml:space="preserve">member </w:t>
      </w:r>
      <w:r w:rsidR="000F2C04">
        <w:t>stated</w:t>
      </w:r>
      <w:r w:rsidR="005F4FD8">
        <w:t xml:space="preserve"> that the concern associated with using only a course limit was that some students might use 1-credit courses, which </w:t>
      </w:r>
      <w:r w:rsidR="00356CFB">
        <w:t>would be</w:t>
      </w:r>
      <w:r w:rsidR="005F4FD8">
        <w:t xml:space="preserve"> less efficient than </w:t>
      </w:r>
      <w:r w:rsidR="00356CFB">
        <w:t xml:space="preserve">applying 3-credit courses, </w:t>
      </w:r>
      <w:r w:rsidR="005F4FD8">
        <w:t xml:space="preserve">and </w:t>
      </w:r>
      <w:r w:rsidR="00356CFB">
        <w:t>potentially cause</w:t>
      </w:r>
      <w:r w:rsidR="005F4FD8">
        <w:t xml:space="preserve"> i</w:t>
      </w:r>
      <w:r w:rsidR="00CA51E6">
        <w:t>nequity</w:t>
      </w:r>
      <w:r w:rsidR="005F4FD8">
        <w:t xml:space="preserve"> among students. </w:t>
      </w:r>
    </w:p>
    <w:p w14:paraId="166D5121" w14:textId="3723712A" w:rsidR="005F4FD8" w:rsidRDefault="005F4FD8" w:rsidP="007D48FF">
      <w:pPr>
        <w:pStyle w:val="ListParagraph"/>
        <w:numPr>
          <w:ilvl w:val="1"/>
          <w:numId w:val="9"/>
        </w:numPr>
      </w:pPr>
      <w:r>
        <w:t xml:space="preserve">A </w:t>
      </w:r>
      <w:r w:rsidR="00610916">
        <w:t>sub</w:t>
      </w:r>
      <w:r>
        <w:t xml:space="preserve">committee member agreed that maintaining both a course and credit limit would be helpful, pointing out that some students transfer in </w:t>
      </w:r>
      <w:proofErr w:type="gramStart"/>
      <w:r>
        <w:t>5-6 unit</w:t>
      </w:r>
      <w:proofErr w:type="gramEnd"/>
      <w:r>
        <w:t xml:space="preserve"> courses, </w:t>
      </w:r>
      <w:r w:rsidR="00356CFB">
        <w:t>and a credit maximum would ensure</w:t>
      </w:r>
      <w:r>
        <w:t xml:space="preserve"> these students don’t </w:t>
      </w:r>
      <w:r w:rsidR="00D256F8">
        <w:t>“triple count”</w:t>
      </w:r>
      <w:r>
        <w:t xml:space="preserve"> </w:t>
      </w:r>
      <w:r w:rsidR="00101E51">
        <w:t>more credit than</w:t>
      </w:r>
      <w:r w:rsidR="00303EF6">
        <w:t xml:space="preserve"> others.</w:t>
      </w:r>
    </w:p>
    <w:p w14:paraId="47F51EA9" w14:textId="4235D471" w:rsidR="001F7B6D" w:rsidRDefault="001F7B6D" w:rsidP="005F4FD8">
      <w:pPr>
        <w:pStyle w:val="ListParagraph"/>
        <w:numPr>
          <w:ilvl w:val="0"/>
          <w:numId w:val="9"/>
        </w:numPr>
      </w:pPr>
      <w:r>
        <w:t xml:space="preserve">It was questioned how many General Education courses have fewer than 3 credits. </w:t>
      </w:r>
    </w:p>
    <w:p w14:paraId="471BF121" w14:textId="272A4E6A" w:rsidR="001F7B6D" w:rsidRDefault="001F7B6D" w:rsidP="00101E51">
      <w:pPr>
        <w:pStyle w:val="ListParagraph"/>
        <w:numPr>
          <w:ilvl w:val="1"/>
          <w:numId w:val="9"/>
        </w:numPr>
      </w:pPr>
      <w:r>
        <w:t xml:space="preserve">One member replied that all Exploring Perspectives/Building Connection must be 3+ credits, but transfer student credit could not be accounted for. </w:t>
      </w:r>
    </w:p>
    <w:p w14:paraId="45094E8A" w14:textId="55CAD6CC" w:rsidR="0035618F" w:rsidRDefault="008D6199" w:rsidP="00CA182C">
      <w:pPr>
        <w:pStyle w:val="ListParagraph"/>
        <w:numPr>
          <w:ilvl w:val="0"/>
          <w:numId w:val="9"/>
        </w:numPr>
      </w:pPr>
      <w:r>
        <w:t xml:space="preserve">A subcommittee member asked </w:t>
      </w:r>
      <w:r w:rsidR="00D92101">
        <w:t xml:space="preserve">if it has been </w:t>
      </w:r>
      <w:proofErr w:type="gramStart"/>
      <w:r w:rsidR="00D92101">
        <w:t>looked into</w:t>
      </w:r>
      <w:proofErr w:type="gramEnd"/>
      <w:r w:rsidR="00D92101">
        <w:t xml:space="preserve"> </w:t>
      </w:r>
      <w:r w:rsidR="004E6300">
        <w:t xml:space="preserve">how transfer credits fulfill the new General Education attributes. </w:t>
      </w:r>
    </w:p>
    <w:p w14:paraId="150042AC" w14:textId="466A4E9F" w:rsidR="00C25B72" w:rsidRDefault="00014A50" w:rsidP="00C25B72">
      <w:pPr>
        <w:pStyle w:val="ListParagraph"/>
        <w:numPr>
          <w:ilvl w:val="1"/>
          <w:numId w:val="9"/>
        </w:numPr>
      </w:pPr>
      <w:r>
        <w:t xml:space="preserve">The UWGEC chair explained that it is difficult to measure whether other institutions and/or high school AP courses </w:t>
      </w:r>
      <w:proofErr w:type="gramStart"/>
      <w:r w:rsidR="006127AA">
        <w:t>actually meet</w:t>
      </w:r>
      <w:proofErr w:type="gramEnd"/>
      <w:r w:rsidR="006127AA">
        <w:t xml:space="preserve"> the attributes</w:t>
      </w:r>
      <w:r w:rsidR="007E070C">
        <w:t>, and there is not yet a solution for</w:t>
      </w:r>
      <w:r w:rsidR="00610916">
        <w:t xml:space="preserve"> determining</w:t>
      </w:r>
      <w:r w:rsidR="007E070C">
        <w:t xml:space="preserve"> this.</w:t>
      </w:r>
    </w:p>
    <w:p w14:paraId="10506DF6" w14:textId="06C81639" w:rsidR="00227E81" w:rsidRDefault="00540978" w:rsidP="00CA182C">
      <w:pPr>
        <w:pStyle w:val="ListParagraph"/>
        <w:numPr>
          <w:ilvl w:val="0"/>
          <w:numId w:val="9"/>
        </w:numPr>
      </w:pPr>
      <w:r>
        <w:t>When</w:t>
      </w:r>
      <w:r w:rsidR="00227E81">
        <w:t xml:space="preserve"> asked </w:t>
      </w:r>
      <w:r>
        <w:t>about</w:t>
      </w:r>
      <w:r w:rsidR="00227E81">
        <w:t xml:space="preserve"> the proposed update to multiple use of courses versus double use</w:t>
      </w:r>
      <w:r w:rsidR="00CA182C">
        <w:t>, a</w:t>
      </w:r>
      <w:r w:rsidR="00227E81">
        <w:t xml:space="preserve"> subcommittee member </w:t>
      </w:r>
      <w:r w:rsidR="004A2604">
        <w:t xml:space="preserve">expressed that while </w:t>
      </w:r>
      <w:r w:rsidR="005A028B">
        <w:t xml:space="preserve">there would likely be concern from their department if </w:t>
      </w:r>
      <w:r w:rsidR="0031222D">
        <w:t>any courses could be applied to multiple requirements</w:t>
      </w:r>
      <w:r w:rsidR="00DE438F">
        <w:t xml:space="preserve"> (particularly in cases where there is overlap between majors)</w:t>
      </w:r>
      <w:r w:rsidR="00F652BE">
        <w:t>, they felt that the policy applying expressly to G</w:t>
      </w:r>
      <w:r w:rsidR="00CA182C">
        <w:t xml:space="preserve">eneral </w:t>
      </w:r>
      <w:r w:rsidR="00F652BE">
        <w:t>E</w:t>
      </w:r>
      <w:r w:rsidR="00CA182C">
        <w:t>ducation</w:t>
      </w:r>
      <w:r w:rsidR="00F652BE">
        <w:t xml:space="preserve"> courses would </w:t>
      </w:r>
      <w:r w:rsidR="00C941C9">
        <w:t>be suitable.</w:t>
      </w:r>
    </w:p>
    <w:p w14:paraId="2BA60FEF" w14:textId="611B4D9F" w:rsidR="002C00A6" w:rsidRDefault="00F46D52" w:rsidP="005F4FD8">
      <w:pPr>
        <w:pStyle w:val="ListParagraph"/>
        <w:numPr>
          <w:ilvl w:val="0"/>
          <w:numId w:val="9"/>
        </w:numPr>
      </w:pPr>
      <w:r>
        <w:t>One</w:t>
      </w:r>
      <w:r w:rsidR="00101E51">
        <w:t xml:space="preserve"> </w:t>
      </w:r>
      <w:r w:rsidR="00B62D5A">
        <w:t>small group</w:t>
      </w:r>
      <w:r w:rsidR="002C00A6">
        <w:t xml:space="preserve"> member was in favor of using only a course limit, but </w:t>
      </w:r>
      <w:r w:rsidR="00101E51">
        <w:t>the subcommittee</w:t>
      </w:r>
      <w:r w:rsidR="002C00A6">
        <w:t xml:space="preserve"> agreed that including a credit limit as well would be wise.</w:t>
      </w:r>
    </w:p>
    <w:p w14:paraId="1344ED4A" w14:textId="09600FBE" w:rsidR="002C00A6" w:rsidRDefault="002C00A6" w:rsidP="005F4FD8">
      <w:pPr>
        <w:pStyle w:val="ListParagraph"/>
        <w:numPr>
          <w:ilvl w:val="0"/>
          <w:numId w:val="9"/>
        </w:numPr>
      </w:pPr>
      <w:r>
        <w:t xml:space="preserve">A </w:t>
      </w:r>
      <w:r w:rsidR="00E40258">
        <w:t xml:space="preserve">subcommittee </w:t>
      </w:r>
      <w:r>
        <w:t xml:space="preserve">member suggested 3 courses and 12 units, </w:t>
      </w:r>
      <w:r w:rsidR="00607D74">
        <w:t>and others agreed</w:t>
      </w:r>
      <w:r w:rsidR="00101E51">
        <w:t xml:space="preserve"> on this amount</w:t>
      </w:r>
      <w:r w:rsidR="00607D74">
        <w:t>.</w:t>
      </w:r>
    </w:p>
    <w:p w14:paraId="7F1DA869" w14:textId="4F8D3A61" w:rsidR="006A4A26" w:rsidRPr="006A4A26" w:rsidRDefault="00607D74" w:rsidP="006A4A26">
      <w:pPr>
        <w:ind w:left="720"/>
        <w:rPr>
          <w:b/>
          <w:bCs/>
        </w:rPr>
      </w:pPr>
      <w:r>
        <w:rPr>
          <w:b/>
          <w:bCs/>
        </w:rPr>
        <w:lastRenderedPageBreak/>
        <w:t xml:space="preserve">The </w:t>
      </w:r>
      <w:r w:rsidR="00610916">
        <w:rPr>
          <w:b/>
          <w:bCs/>
        </w:rPr>
        <w:t>sub</w:t>
      </w:r>
      <w:r>
        <w:rPr>
          <w:b/>
          <w:bCs/>
        </w:rPr>
        <w:t>committee agreed to have the Office of the Registrar prepare a proposal that allows for the multiple use of credits across 2+ requirement areas for up to 3 courses (12 units)</w:t>
      </w:r>
      <w:r w:rsidR="00101E51">
        <w:rPr>
          <w:b/>
          <w:bCs/>
        </w:rPr>
        <w:t>.</w:t>
      </w:r>
      <w:r>
        <w:rPr>
          <w:b/>
          <w:bCs/>
        </w:rPr>
        <w:t xml:space="preserve"> </w:t>
      </w:r>
      <w:r w:rsidR="00101E51">
        <w:rPr>
          <w:b/>
          <w:bCs/>
        </w:rPr>
        <w:t>This</w:t>
      </w:r>
      <w:r>
        <w:rPr>
          <w:b/>
          <w:bCs/>
        </w:rPr>
        <w:t xml:space="preserve"> p</w:t>
      </w:r>
      <w:r w:rsidR="00101E51">
        <w:rPr>
          <w:b/>
          <w:bCs/>
        </w:rPr>
        <w:t>roposal will be routed</w:t>
      </w:r>
      <w:r>
        <w:rPr>
          <w:b/>
          <w:bCs/>
        </w:rPr>
        <w:t xml:space="preserve"> to UWGEC </w:t>
      </w:r>
      <w:r w:rsidR="00101E51">
        <w:rPr>
          <w:b/>
          <w:bCs/>
        </w:rPr>
        <w:t>to begin the approval process</w:t>
      </w:r>
      <w:r>
        <w:rPr>
          <w:b/>
          <w:bCs/>
        </w:rPr>
        <w:t>.</w:t>
      </w:r>
    </w:p>
    <w:p w14:paraId="2C563E29" w14:textId="039B6C89" w:rsidR="00B95D7B" w:rsidRPr="008828B5" w:rsidRDefault="00B95D7B" w:rsidP="00F82C15"/>
    <w:p w14:paraId="1BD3AC78" w14:textId="6C9B6C5C" w:rsidR="00A65047" w:rsidRPr="00811899" w:rsidRDefault="00E83DAD" w:rsidP="00811899">
      <w:pPr>
        <w:pStyle w:val="ListParagraph"/>
        <w:numPr>
          <w:ilvl w:val="0"/>
          <w:numId w:val="3"/>
        </w:numPr>
        <w:rPr>
          <w:b/>
          <w:bCs/>
        </w:rPr>
      </w:pPr>
      <w:r>
        <w:rPr>
          <w:b/>
          <w:bCs/>
        </w:rPr>
        <w:t>Credit</w:t>
      </w:r>
      <w:r w:rsidR="00764241">
        <w:rPr>
          <w:b/>
          <w:bCs/>
        </w:rPr>
        <w:t xml:space="preserve">s from Community Colleges </w:t>
      </w:r>
      <w:r w:rsidR="00764241">
        <w:rPr>
          <w:b/>
          <w:bCs/>
        </w:rPr>
        <w:br/>
      </w:r>
      <w:r w:rsidR="00811899">
        <w:rPr>
          <w:b/>
          <w:bCs/>
        </w:rPr>
        <w:t xml:space="preserve">Presenter: </w:t>
      </w:r>
      <w:r w:rsidR="00811899">
        <w:t>Abbie Sorg</w:t>
      </w:r>
    </w:p>
    <w:p w14:paraId="569F2772" w14:textId="786376C4" w:rsidR="00607D74" w:rsidRDefault="00101E51" w:rsidP="001C0CB4">
      <w:pPr>
        <w:ind w:left="1440"/>
      </w:pPr>
      <w:r>
        <w:t xml:space="preserve">The </w:t>
      </w:r>
      <w:r w:rsidR="00610916">
        <w:t>sub</w:t>
      </w:r>
      <w:r>
        <w:t xml:space="preserve">committee was </w:t>
      </w:r>
      <w:r w:rsidR="00EE39B1">
        <w:t>informed</w:t>
      </w:r>
      <w:r>
        <w:t xml:space="preserve"> that alt</w:t>
      </w:r>
      <w:r w:rsidR="00607D74">
        <w:t xml:space="preserve">hough there is no limit to how much transfer credit may be accepted, only 64 units from a community college may be applied towards a </w:t>
      </w:r>
      <w:r>
        <w:t>bachelor’s</w:t>
      </w:r>
      <w:r w:rsidR="00607D74">
        <w:t xml:space="preserve"> degree. </w:t>
      </w:r>
      <w:r>
        <w:t>Additionally,</w:t>
      </w:r>
      <w:r w:rsidR="00E171FB">
        <w:t xml:space="preserve"> upper-division coursework from community college transfers as lower-division credit. This policy </w:t>
      </w:r>
      <w:r>
        <w:t xml:space="preserve">only </w:t>
      </w:r>
      <w:r w:rsidR="00E171FB">
        <w:t xml:space="preserve">exists because it is an ABOR policy. However, ABOR is considering the removal of this policy. If </w:t>
      </w:r>
      <w:r w:rsidR="007B694C">
        <w:t>ABOR goes through with this</w:t>
      </w:r>
      <w:r w:rsidR="00E171FB">
        <w:t xml:space="preserve">, the Office of the Registrar </w:t>
      </w:r>
      <w:r>
        <w:t xml:space="preserve">would </w:t>
      </w:r>
      <w:r w:rsidR="00E171FB">
        <w:t xml:space="preserve">suggest removing this limit at the institutional level as well. </w:t>
      </w:r>
    </w:p>
    <w:p w14:paraId="2933F918" w14:textId="77536D90" w:rsidR="00B95D7B" w:rsidRDefault="00B95D7B" w:rsidP="001C0CB4">
      <w:pPr>
        <w:ind w:left="1440"/>
        <w:rPr>
          <w:u w:val="single"/>
        </w:rPr>
      </w:pPr>
      <w:r>
        <w:rPr>
          <w:u w:val="single"/>
        </w:rPr>
        <w:t>Discussion</w:t>
      </w:r>
      <w:r w:rsidR="00A65047">
        <w:rPr>
          <w:u w:val="single"/>
        </w:rPr>
        <w:t xml:space="preserve"> began:</w:t>
      </w:r>
    </w:p>
    <w:p w14:paraId="2E57FAB0" w14:textId="733392A4" w:rsidR="00431DFB" w:rsidRPr="007378BF" w:rsidRDefault="00FE0A0D" w:rsidP="00431DFB">
      <w:pPr>
        <w:pStyle w:val="ListParagraph"/>
        <w:numPr>
          <w:ilvl w:val="0"/>
          <w:numId w:val="8"/>
        </w:numPr>
        <w:rPr>
          <w:u w:val="single"/>
        </w:rPr>
      </w:pPr>
      <w:r>
        <w:t xml:space="preserve">One </w:t>
      </w:r>
      <w:r w:rsidR="00E171FB">
        <w:t xml:space="preserve">member noted that ABOR is considering this change due to Arizona community colleges having been recently approved to offer </w:t>
      </w:r>
      <w:r w:rsidR="00101E51">
        <w:t>bachelor’s</w:t>
      </w:r>
      <w:r w:rsidR="00E171FB">
        <w:t xml:space="preserve"> degrees.</w:t>
      </w:r>
    </w:p>
    <w:p w14:paraId="12C84082" w14:textId="19313FA6" w:rsidR="007378BF" w:rsidRPr="00E171FB" w:rsidRDefault="00E171FB" w:rsidP="00431DFB">
      <w:pPr>
        <w:pStyle w:val="ListParagraph"/>
        <w:numPr>
          <w:ilvl w:val="0"/>
          <w:numId w:val="8"/>
        </w:numPr>
        <w:rPr>
          <w:u w:val="single"/>
        </w:rPr>
      </w:pPr>
      <w:r>
        <w:t xml:space="preserve">Another member supported the dissolution of the policy </w:t>
      </w:r>
      <w:r w:rsidR="00101E51">
        <w:t>because</w:t>
      </w:r>
      <w:r>
        <w:t xml:space="preserve"> it limits equity and access. </w:t>
      </w:r>
      <w:r w:rsidR="00F30E80">
        <w:t>L</w:t>
      </w:r>
      <w:r w:rsidR="00295B71">
        <w:t>ower-</w:t>
      </w:r>
      <w:r w:rsidR="008E4846">
        <w:t>socioeconomic</w:t>
      </w:r>
      <w:r w:rsidR="00F30E80">
        <w:t xml:space="preserve"> status</w:t>
      </w:r>
      <w:r w:rsidR="00295B71">
        <w:t xml:space="preserve"> students</w:t>
      </w:r>
      <w:r w:rsidR="00101E51">
        <w:t xml:space="preserve"> often begin their education </w:t>
      </w:r>
      <w:r>
        <w:t>at community college</w:t>
      </w:r>
      <w:r w:rsidR="002E4510">
        <w:t>s</w:t>
      </w:r>
      <w:r>
        <w:t>. By limiting these students to 64 credits, they are disadvantaged compared to students who transfer from 4-year institutions.</w:t>
      </w:r>
    </w:p>
    <w:p w14:paraId="2EC2BFE6" w14:textId="4C8714C2" w:rsidR="00E171FB" w:rsidRPr="00603DE8" w:rsidRDefault="00E171FB" w:rsidP="00431DFB">
      <w:pPr>
        <w:pStyle w:val="ListParagraph"/>
        <w:numPr>
          <w:ilvl w:val="0"/>
          <w:numId w:val="8"/>
        </w:numPr>
        <w:rPr>
          <w:u w:val="single"/>
        </w:rPr>
      </w:pPr>
      <w:r>
        <w:t xml:space="preserve">The same member added that </w:t>
      </w:r>
      <w:r w:rsidR="001D679C">
        <w:t>in previous years,</w:t>
      </w:r>
      <w:r>
        <w:t xml:space="preserve"> </w:t>
      </w:r>
      <w:r w:rsidR="001D679C">
        <w:t xml:space="preserve">many </w:t>
      </w:r>
      <w:r>
        <w:t>community colleges only offered lower</w:t>
      </w:r>
      <w:r w:rsidR="00101E51">
        <w:t>-</w:t>
      </w:r>
      <w:r>
        <w:t>level courses</w:t>
      </w:r>
      <w:r w:rsidR="00603DE8">
        <w:t xml:space="preserve">, but this </w:t>
      </w:r>
      <w:r w:rsidR="00926540">
        <w:t>seems to be increasingly changing</w:t>
      </w:r>
      <w:r w:rsidR="00603DE8">
        <w:t xml:space="preserve">. Even </w:t>
      </w:r>
      <w:r w:rsidR="00101E51">
        <w:t xml:space="preserve">if students could </w:t>
      </w:r>
      <w:proofErr w:type="gramStart"/>
      <w:r w:rsidR="00101E51">
        <w:t>apply</w:t>
      </w:r>
      <w:proofErr w:type="gramEnd"/>
      <w:r w:rsidR="00101E51">
        <w:t xml:space="preserve"> more credits from their previous institution</w:t>
      </w:r>
      <w:r w:rsidR="00603DE8">
        <w:t>, they w</w:t>
      </w:r>
      <w:r w:rsidR="00101E51">
        <w:t>ould</w:t>
      </w:r>
      <w:r w:rsidR="00603DE8">
        <w:t xml:space="preserve"> still need to take 42 upper-division</w:t>
      </w:r>
      <w:r w:rsidR="00DA78D3">
        <w:t xml:space="preserve"> credits</w:t>
      </w:r>
      <w:r w:rsidR="00603DE8">
        <w:t xml:space="preserve"> (and 30 in-residence </w:t>
      </w:r>
      <w:r w:rsidR="003304E2">
        <w:t>credits</w:t>
      </w:r>
      <w:r w:rsidR="00603DE8">
        <w:t>)</w:t>
      </w:r>
      <w:r w:rsidR="00101E51">
        <w:t xml:space="preserve"> to graduate from the University of Arizona.</w:t>
      </w:r>
      <w:r w:rsidR="00603DE8">
        <w:t xml:space="preserve"> Th</w:t>
      </w:r>
      <w:r w:rsidR="00464EF6">
        <w:t>e</w:t>
      </w:r>
      <w:r w:rsidR="00603DE8">
        <w:t>s</w:t>
      </w:r>
      <w:r w:rsidR="00464EF6">
        <w:t>e</w:t>
      </w:r>
      <w:r w:rsidR="00603DE8">
        <w:t xml:space="preserve"> </w:t>
      </w:r>
      <w:r w:rsidR="00B034A3">
        <w:t>separate polic</w:t>
      </w:r>
      <w:r w:rsidR="00464EF6">
        <w:t>ies</w:t>
      </w:r>
      <w:r w:rsidR="00B034A3">
        <w:t xml:space="preserve"> could effectively </w:t>
      </w:r>
      <w:r w:rsidR="00603DE8">
        <w:t>balance</w:t>
      </w:r>
      <w:r w:rsidR="00B034A3">
        <w:t xml:space="preserve"> how many credits students apply to their degree without the credits from community colleges policy</w:t>
      </w:r>
      <w:r w:rsidR="00603DE8">
        <w:t>.</w:t>
      </w:r>
    </w:p>
    <w:p w14:paraId="001720AF" w14:textId="298C76C2" w:rsidR="00603DE8" w:rsidRPr="003E585A" w:rsidRDefault="003E585A" w:rsidP="003E585A">
      <w:pPr>
        <w:pStyle w:val="ListParagraph"/>
        <w:numPr>
          <w:ilvl w:val="1"/>
          <w:numId w:val="8"/>
        </w:numPr>
        <w:rPr>
          <w:u w:val="single"/>
        </w:rPr>
      </w:pPr>
      <w:r>
        <w:t>Another member mentioned that some degrees</w:t>
      </w:r>
      <w:r w:rsidR="00133CAC">
        <w:t xml:space="preserve">, such as the Bachelor of General Studies and the Bachelor of Interdisciplinary Studies, </w:t>
      </w:r>
      <w:r>
        <w:t>have been given approval from ABOR to accept more transfer credit for the</w:t>
      </w:r>
      <w:r w:rsidR="00B034A3">
        <w:t xml:space="preserve"> above</w:t>
      </w:r>
      <w:r>
        <w:t xml:space="preserve"> reason.</w:t>
      </w:r>
    </w:p>
    <w:p w14:paraId="4BB928FE" w14:textId="6708E70B" w:rsidR="003E585A" w:rsidRPr="003E585A" w:rsidRDefault="003E585A" w:rsidP="003E585A">
      <w:pPr>
        <w:pStyle w:val="ListParagraph"/>
        <w:numPr>
          <w:ilvl w:val="0"/>
          <w:numId w:val="8"/>
        </w:numPr>
        <w:rPr>
          <w:u w:val="single"/>
        </w:rPr>
      </w:pPr>
      <w:r>
        <w:t xml:space="preserve">It was mentioned that community colleges offering </w:t>
      </w:r>
      <w:r w:rsidR="00B034A3">
        <w:t>bachelor’s</w:t>
      </w:r>
      <w:r>
        <w:t xml:space="preserve"> degrees</w:t>
      </w:r>
      <w:r w:rsidR="00B034A3">
        <w:t xml:space="preserve"> would</w:t>
      </w:r>
      <w:r>
        <w:t xml:space="preserve"> mean more competition for the University, and it would be wise to be more accepting </w:t>
      </w:r>
      <w:proofErr w:type="gramStart"/>
      <w:r>
        <w:t>so</w:t>
      </w:r>
      <w:r w:rsidR="00852492">
        <w:t xml:space="preserve"> as to</w:t>
      </w:r>
      <w:proofErr w:type="gramEnd"/>
      <w:r w:rsidR="00852492">
        <w:t xml:space="preserve"> not turn away</w:t>
      </w:r>
      <w:r>
        <w:t xml:space="preserve"> prospective students.</w:t>
      </w:r>
    </w:p>
    <w:p w14:paraId="343E71A5" w14:textId="38D8EAF3" w:rsidR="003E585A" w:rsidRPr="003E585A" w:rsidRDefault="003E585A" w:rsidP="003E585A">
      <w:pPr>
        <w:pStyle w:val="ListParagraph"/>
        <w:numPr>
          <w:ilvl w:val="0"/>
          <w:numId w:val="8"/>
        </w:numPr>
        <w:rPr>
          <w:u w:val="single"/>
        </w:rPr>
      </w:pPr>
      <w:r>
        <w:t xml:space="preserve">One member brought up that Northern Arizona University </w:t>
      </w:r>
      <w:r w:rsidR="00017E3A">
        <w:t>allows students to tra</w:t>
      </w:r>
      <w:r w:rsidR="000478B2">
        <w:t>nsfer in 90 credits from community colleges, leaving only 30 for them to complete in residence</w:t>
      </w:r>
      <w:r>
        <w:t>.</w:t>
      </w:r>
    </w:p>
    <w:p w14:paraId="0EFED84E" w14:textId="779F455A" w:rsidR="003E585A" w:rsidRPr="003E585A" w:rsidRDefault="003E585A" w:rsidP="003E585A">
      <w:pPr>
        <w:pStyle w:val="ListParagraph"/>
        <w:numPr>
          <w:ilvl w:val="0"/>
          <w:numId w:val="8"/>
        </w:numPr>
        <w:rPr>
          <w:u w:val="single"/>
        </w:rPr>
      </w:pPr>
      <w:r>
        <w:t>The subcommittee expressed interest in removing the policy</w:t>
      </w:r>
      <w:r w:rsidR="00A00399">
        <w:t>.</w:t>
      </w:r>
    </w:p>
    <w:p w14:paraId="66472802" w14:textId="4916E15C" w:rsidR="003E585A" w:rsidRPr="003E585A" w:rsidRDefault="003E585A" w:rsidP="003E585A">
      <w:pPr>
        <w:pStyle w:val="ListParagraph"/>
        <w:numPr>
          <w:ilvl w:val="0"/>
          <w:numId w:val="8"/>
        </w:numPr>
        <w:rPr>
          <w:u w:val="single"/>
        </w:rPr>
      </w:pPr>
      <w:r>
        <w:t>A member asked if the community colleges offering bachelor’s degrees also have limits as to how many credits can be transferred from other community colleges.</w:t>
      </w:r>
    </w:p>
    <w:p w14:paraId="2F25A4E3" w14:textId="77777777" w:rsidR="003E585A" w:rsidRPr="007378BF" w:rsidRDefault="003E585A" w:rsidP="003E585A">
      <w:pPr>
        <w:pStyle w:val="ListParagraph"/>
        <w:ind w:left="2160"/>
        <w:rPr>
          <w:u w:val="single"/>
        </w:rPr>
      </w:pPr>
    </w:p>
    <w:p w14:paraId="0CBF8B9E" w14:textId="0871A069" w:rsidR="008828B5" w:rsidRDefault="003E585A" w:rsidP="007378BF">
      <w:pPr>
        <w:ind w:left="1080"/>
        <w:rPr>
          <w:b/>
          <w:bCs/>
        </w:rPr>
      </w:pPr>
      <w:r>
        <w:rPr>
          <w:b/>
          <w:bCs/>
        </w:rPr>
        <w:t>The subcommittee agreed to wait for ABOR to act on removing the policy, in which case the dissolution of the institutional policy w</w:t>
      </w:r>
      <w:r w:rsidR="00B034A3">
        <w:rPr>
          <w:b/>
          <w:bCs/>
        </w:rPr>
        <w:t>ill</w:t>
      </w:r>
      <w:r>
        <w:rPr>
          <w:b/>
          <w:bCs/>
        </w:rPr>
        <w:t xml:space="preserve"> be revisited.</w:t>
      </w:r>
    </w:p>
    <w:p w14:paraId="426F38DA" w14:textId="77777777" w:rsidR="007378BF" w:rsidRDefault="007378BF" w:rsidP="007378BF">
      <w:pPr>
        <w:ind w:left="1080"/>
        <w:rPr>
          <w:b/>
          <w:bCs/>
        </w:rPr>
      </w:pPr>
    </w:p>
    <w:p w14:paraId="62A72C29" w14:textId="1E1339E9" w:rsidR="00A217E2" w:rsidRDefault="00764241" w:rsidP="00E83DAD">
      <w:pPr>
        <w:pStyle w:val="ListParagraph"/>
        <w:numPr>
          <w:ilvl w:val="0"/>
          <w:numId w:val="3"/>
        </w:numPr>
        <w:rPr>
          <w:b/>
          <w:bCs/>
        </w:rPr>
      </w:pPr>
      <w:r>
        <w:rPr>
          <w:b/>
          <w:bCs/>
        </w:rPr>
        <w:t>Course Types and Components</w:t>
      </w:r>
    </w:p>
    <w:p w14:paraId="1180FA44" w14:textId="28D73A14" w:rsidR="006A4A26" w:rsidRDefault="00E83DAD" w:rsidP="006A4A26">
      <w:pPr>
        <w:pStyle w:val="ListParagraph"/>
        <w:ind w:left="1440"/>
      </w:pPr>
      <w:r>
        <w:rPr>
          <w:b/>
          <w:bCs/>
        </w:rPr>
        <w:t xml:space="preserve">Presenters: </w:t>
      </w:r>
      <w:r w:rsidR="00764241">
        <w:t>Abbie Sorg</w:t>
      </w:r>
    </w:p>
    <w:p w14:paraId="470F55D3" w14:textId="77777777" w:rsidR="007378BF" w:rsidRDefault="007378BF" w:rsidP="006A4A26">
      <w:pPr>
        <w:pStyle w:val="ListParagraph"/>
        <w:ind w:left="1440"/>
        <w:rPr>
          <w:b/>
          <w:bCs/>
        </w:rPr>
      </w:pPr>
    </w:p>
    <w:p w14:paraId="48088457" w14:textId="0FC8DE99" w:rsidR="00AE7C01" w:rsidRDefault="00B034A3" w:rsidP="006A4A26">
      <w:pPr>
        <w:pStyle w:val="ListParagraph"/>
        <w:ind w:left="1440"/>
      </w:pPr>
      <w:r>
        <w:t>It was shared with the subcommittee</w:t>
      </w:r>
      <w:r w:rsidR="003E585A">
        <w:t xml:space="preserve"> that the review of this policy </w:t>
      </w:r>
      <w:r w:rsidR="00A54BCC">
        <w:t>is part of a</w:t>
      </w:r>
      <w:r w:rsidR="003E585A">
        <w:t xml:space="preserve"> </w:t>
      </w:r>
      <w:r w:rsidR="00A54BCC">
        <w:t>lar</w:t>
      </w:r>
      <w:r w:rsidR="003E585A">
        <w:t xml:space="preserve">ger </w:t>
      </w:r>
      <w:r w:rsidR="00A54BCC">
        <w:t>goal</w:t>
      </w:r>
      <w:r w:rsidR="003E585A">
        <w:t xml:space="preserve"> to amend 3 policies overlapping in content: Course Types and Components, University-Wide House Numbered Courses, and Individual Studies. The Course</w:t>
      </w:r>
      <w:r w:rsidR="009A3304">
        <w:t xml:space="preserve"> Types</w:t>
      </w:r>
      <w:r w:rsidR="003E585A">
        <w:t xml:space="preserve"> and Components policy gives an overview of standard co</w:t>
      </w:r>
      <w:r w:rsidR="00FD12B2">
        <w:t>mponent</w:t>
      </w:r>
      <w:r w:rsidR="003E585A">
        <w:t xml:space="preserve"> types (lecture, lab, </w:t>
      </w:r>
      <w:proofErr w:type="gramStart"/>
      <w:r w:rsidR="00AE03BB">
        <w:t>discussion</w:t>
      </w:r>
      <w:proofErr w:type="gramEnd"/>
      <w:r w:rsidR="00AE03BB">
        <w:t xml:space="preserve"> and studio</w:t>
      </w:r>
      <w:r w:rsidR="003E585A">
        <w:t xml:space="preserve">) and includes an informative handout, which isn’t in the actual policy because it </w:t>
      </w:r>
      <w:r w:rsidR="00E044BE">
        <w:t>duplicates</w:t>
      </w:r>
      <w:r w:rsidR="003E585A">
        <w:t xml:space="preserve"> information from the House-Numbered Courses policy. There is interest in </w:t>
      </w:r>
      <w:r w:rsidR="00EE1A65">
        <w:t xml:space="preserve">adjusting the handout </w:t>
      </w:r>
      <w:r w:rsidR="0067152A">
        <w:t xml:space="preserve">to address all component </w:t>
      </w:r>
      <w:proofErr w:type="gramStart"/>
      <w:r w:rsidR="0067152A">
        <w:t>types,</w:t>
      </w:r>
      <w:r w:rsidR="00971C22">
        <w:t xml:space="preserve"> and</w:t>
      </w:r>
      <w:proofErr w:type="gramEnd"/>
      <w:r w:rsidR="00971C22">
        <w:t xml:space="preserve"> us</w:t>
      </w:r>
      <w:r w:rsidR="00AC7408">
        <w:t>ing</w:t>
      </w:r>
      <w:r w:rsidR="00971C22">
        <w:t xml:space="preserve"> that information </w:t>
      </w:r>
      <w:r w:rsidR="00AF0684">
        <w:t>for</w:t>
      </w:r>
      <w:r w:rsidR="00971C22">
        <w:t xml:space="preserve"> the Course Types and Components policy. </w:t>
      </w:r>
    </w:p>
    <w:p w14:paraId="53BFA3A4" w14:textId="68C68B2C" w:rsidR="006A4A26" w:rsidRDefault="00AE7C01" w:rsidP="006A4A26">
      <w:pPr>
        <w:pStyle w:val="ListParagraph"/>
        <w:ind w:left="1440"/>
        <w:rPr>
          <w:b/>
          <w:bCs/>
        </w:rPr>
      </w:pPr>
      <w:r>
        <w:t xml:space="preserve">    </w:t>
      </w:r>
      <w:r w:rsidR="00B85012">
        <w:t>The</w:t>
      </w:r>
      <w:r w:rsidR="006F642B">
        <w:t xml:space="preserve"> House-Numbered Courses policy would be updated to remove duplicate information.</w:t>
      </w:r>
      <w:r w:rsidR="00742F67">
        <w:t xml:space="preserve"> </w:t>
      </w:r>
      <w:r w:rsidR="00B85012">
        <w:t>Additionally,</w:t>
      </w:r>
      <w:r w:rsidR="00742F67">
        <w:t xml:space="preserve"> the Honors college</w:t>
      </w:r>
      <w:r w:rsidR="00A46EC9">
        <w:t xml:space="preserve"> would need to be consulted</w:t>
      </w:r>
      <w:r w:rsidR="00742F67">
        <w:t xml:space="preserve"> to determine wh</w:t>
      </w:r>
      <w:r w:rsidR="00215982">
        <w:t xml:space="preserve">ich </w:t>
      </w:r>
      <w:r w:rsidR="00A120C8">
        <w:t xml:space="preserve">honors </w:t>
      </w:r>
      <w:r w:rsidR="00215982">
        <w:t>courses require</w:t>
      </w:r>
      <w:r w:rsidR="00742F67">
        <w:t xml:space="preserve"> separate </w:t>
      </w:r>
      <w:r w:rsidR="009B5BDF">
        <w:t>categorization</w:t>
      </w:r>
      <w:r w:rsidR="00742F67">
        <w:t xml:space="preserve">. </w:t>
      </w:r>
    </w:p>
    <w:p w14:paraId="38E109CF" w14:textId="77777777" w:rsidR="00E044BE" w:rsidRDefault="00E044BE" w:rsidP="006A4A26">
      <w:pPr>
        <w:pStyle w:val="ListParagraph"/>
        <w:ind w:left="1440"/>
      </w:pPr>
    </w:p>
    <w:p w14:paraId="2C04CAB9" w14:textId="5D91AE85" w:rsidR="007378BF" w:rsidRDefault="007378BF" w:rsidP="006A4A26">
      <w:pPr>
        <w:pStyle w:val="ListParagraph"/>
        <w:ind w:left="1440"/>
      </w:pPr>
      <w:r w:rsidRPr="00DE09BA">
        <w:rPr>
          <w:u w:val="single"/>
        </w:rPr>
        <w:t>Discussion Began</w:t>
      </w:r>
      <w:r>
        <w:t>:</w:t>
      </w:r>
    </w:p>
    <w:p w14:paraId="5A87C822" w14:textId="1FBFF81E" w:rsidR="0088228C" w:rsidRDefault="0088228C" w:rsidP="00742F67">
      <w:pPr>
        <w:pStyle w:val="ListParagraph"/>
        <w:numPr>
          <w:ilvl w:val="0"/>
          <w:numId w:val="10"/>
        </w:numPr>
      </w:pPr>
      <w:r>
        <w:t xml:space="preserve">One member </w:t>
      </w:r>
      <w:r w:rsidR="00742F67">
        <w:t>from the Honors college mentioned that because the grading basis is often different for honors courses, it may not be possible to condense the honors courses with regular courses.</w:t>
      </w:r>
    </w:p>
    <w:p w14:paraId="2E1970BB" w14:textId="6A579CE3" w:rsidR="00742F67" w:rsidRDefault="00742F67" w:rsidP="00742F67">
      <w:pPr>
        <w:pStyle w:val="ListParagraph"/>
        <w:numPr>
          <w:ilvl w:val="0"/>
          <w:numId w:val="10"/>
        </w:numPr>
      </w:pPr>
      <w:r>
        <w:t>A representative from the College of Fine Arts mentioned that the way the</w:t>
      </w:r>
      <w:r w:rsidR="0088003C">
        <w:t>ir</w:t>
      </w:r>
      <w:r>
        <w:t xml:space="preserve"> college designates the </w:t>
      </w:r>
      <w:proofErr w:type="gramStart"/>
      <w:r>
        <w:t>amount</w:t>
      </w:r>
      <w:proofErr w:type="gramEnd"/>
      <w:r>
        <w:t xml:space="preserve"> of credits for students</w:t>
      </w:r>
      <w:r w:rsidR="00F352E3">
        <w:t xml:space="preserve"> (and </w:t>
      </w:r>
      <w:r>
        <w:t>instructors</w:t>
      </w:r>
      <w:r w:rsidR="00F352E3">
        <w:t xml:space="preserve"> teaching the courses)</w:t>
      </w:r>
      <w:r>
        <w:t xml:space="preserve"> often doesn’t correlate with the </w:t>
      </w:r>
      <w:r w:rsidR="00BF41AA">
        <w:t>contact hours, rehearsal</w:t>
      </w:r>
      <w:r w:rsidR="00DA2926">
        <w:t xml:space="preserve"> hours, and </w:t>
      </w:r>
      <w:r>
        <w:t>practice hours</w:t>
      </w:r>
      <w:r w:rsidR="00DA2926">
        <w:t xml:space="preserve"> that must be put in</w:t>
      </w:r>
      <w:r>
        <w:t>. They felt there could be an opportunity to better align the</w:t>
      </w:r>
      <w:r w:rsidR="00E62D27">
        <w:t xml:space="preserve"> college </w:t>
      </w:r>
      <w:r>
        <w:t xml:space="preserve">with standard </w:t>
      </w:r>
      <w:r w:rsidR="00E62D27">
        <w:t xml:space="preserve">University </w:t>
      </w:r>
      <w:r>
        <w:t>practice</w:t>
      </w:r>
      <w:r w:rsidR="004E6EE8">
        <w:t xml:space="preserve"> and more accurately represent the faculty</w:t>
      </w:r>
      <w:r w:rsidR="00E62D27">
        <w:t>’s</w:t>
      </w:r>
      <w:r w:rsidR="004E6EE8">
        <w:t xml:space="preserve"> load and </w:t>
      </w:r>
      <w:r w:rsidR="00E62D27">
        <w:t xml:space="preserve">students’ </w:t>
      </w:r>
      <w:r w:rsidR="00F473F2">
        <w:t>work</w:t>
      </w:r>
      <w:r w:rsidR="00E62D27">
        <w:t>.</w:t>
      </w:r>
    </w:p>
    <w:p w14:paraId="6BB4CADB" w14:textId="0A816DFE" w:rsidR="00742F67" w:rsidRDefault="00742F67" w:rsidP="00742F67">
      <w:pPr>
        <w:pStyle w:val="ListParagraph"/>
        <w:numPr>
          <w:ilvl w:val="1"/>
          <w:numId w:val="10"/>
        </w:numPr>
      </w:pPr>
      <w:r>
        <w:t xml:space="preserve">Another member added that many departments have similar confusion pertaining to practice and independent </w:t>
      </w:r>
      <w:r w:rsidR="009B4096">
        <w:t>work that students must put in</w:t>
      </w:r>
      <w:r>
        <w:t>.</w:t>
      </w:r>
    </w:p>
    <w:p w14:paraId="79D8AD98" w14:textId="6BB53D9A" w:rsidR="00742F67" w:rsidRDefault="00742F67" w:rsidP="00742F67">
      <w:pPr>
        <w:pStyle w:val="ListParagraph"/>
        <w:numPr>
          <w:ilvl w:val="1"/>
          <w:numId w:val="10"/>
        </w:numPr>
      </w:pPr>
      <w:r>
        <w:t>A third member s</w:t>
      </w:r>
      <w:r w:rsidR="009B4096">
        <w:t>peculated</w:t>
      </w:r>
      <w:r>
        <w:t xml:space="preserve"> this </w:t>
      </w:r>
      <w:r w:rsidR="009B4096">
        <w:t>could</w:t>
      </w:r>
      <w:r>
        <w:t xml:space="preserve"> be the case for Architecture programs.</w:t>
      </w:r>
    </w:p>
    <w:p w14:paraId="60369C98" w14:textId="5D531867" w:rsidR="00AD4F2F" w:rsidRDefault="00AD4F2F" w:rsidP="00742F67">
      <w:pPr>
        <w:pStyle w:val="ListParagraph"/>
        <w:numPr>
          <w:ilvl w:val="0"/>
          <w:numId w:val="10"/>
        </w:numPr>
      </w:pPr>
      <w:r>
        <w:t xml:space="preserve">A representative of Arizona Online mentioned that the course definitions lean toward in-person learning, despite online students also having options for independent study, </w:t>
      </w:r>
      <w:r w:rsidR="009803D5">
        <w:t xml:space="preserve">research, </w:t>
      </w:r>
      <w:r>
        <w:t>etc. They requested inclusive language that doesn’t describe physical proximity.</w:t>
      </w:r>
    </w:p>
    <w:p w14:paraId="5EFF066E" w14:textId="77777777" w:rsidR="00AD4F2F" w:rsidRPr="007378BF" w:rsidRDefault="00AD4F2F" w:rsidP="00AD4F2F">
      <w:pPr>
        <w:pStyle w:val="ListParagraph"/>
        <w:ind w:left="2160"/>
      </w:pPr>
    </w:p>
    <w:p w14:paraId="3033271F" w14:textId="2A17465D" w:rsidR="00474BB2" w:rsidRPr="00924158" w:rsidRDefault="00E044BE" w:rsidP="00924158">
      <w:pPr>
        <w:ind w:left="720"/>
        <w:rPr>
          <w:b/>
          <w:bCs/>
        </w:rPr>
      </w:pPr>
      <w:r>
        <w:rPr>
          <w:b/>
          <w:bCs/>
        </w:rPr>
        <w:t>S</w:t>
      </w:r>
      <w:r w:rsidR="00AD4F2F">
        <w:rPr>
          <w:b/>
          <w:bCs/>
        </w:rPr>
        <w:t xml:space="preserve">ubcommittee </w:t>
      </w:r>
      <w:r>
        <w:rPr>
          <w:b/>
          <w:bCs/>
        </w:rPr>
        <w:t xml:space="preserve">members </w:t>
      </w:r>
      <w:r w:rsidR="00AD4F2F">
        <w:rPr>
          <w:b/>
          <w:bCs/>
        </w:rPr>
        <w:t>w</w:t>
      </w:r>
      <w:r>
        <w:rPr>
          <w:b/>
          <w:bCs/>
        </w:rPr>
        <w:t>ere</w:t>
      </w:r>
      <w:r w:rsidR="00AD4F2F">
        <w:rPr>
          <w:b/>
          <w:bCs/>
        </w:rPr>
        <w:t xml:space="preserve"> asked to discuss the policy with their colleges to gather feedback fo</w:t>
      </w:r>
      <w:r w:rsidR="005D0A09">
        <w:rPr>
          <w:b/>
          <w:bCs/>
        </w:rPr>
        <w:t>r</w:t>
      </w:r>
      <w:r w:rsidR="00AD4F2F">
        <w:rPr>
          <w:b/>
          <w:bCs/>
        </w:rPr>
        <w:t xml:space="preserve"> discussion</w:t>
      </w:r>
      <w:r w:rsidR="005D0A09">
        <w:rPr>
          <w:b/>
          <w:bCs/>
        </w:rPr>
        <w:t xml:space="preserve"> at the November subcommittee meeting</w:t>
      </w:r>
      <w:r w:rsidR="00AD4F2F">
        <w:rPr>
          <w:b/>
          <w:bCs/>
        </w:rPr>
        <w:t xml:space="preserve">. </w:t>
      </w:r>
    </w:p>
    <w:p w14:paraId="0333E663" w14:textId="4A29BF47" w:rsidR="00764241" w:rsidRPr="00FC2D14" w:rsidRDefault="00764241" w:rsidP="00764241">
      <w:pPr>
        <w:pStyle w:val="ListParagraph"/>
        <w:numPr>
          <w:ilvl w:val="0"/>
          <w:numId w:val="3"/>
        </w:numPr>
        <w:rPr>
          <w:b/>
          <w:bCs/>
        </w:rPr>
      </w:pPr>
      <w:r>
        <w:rPr>
          <w:b/>
          <w:bCs/>
        </w:rPr>
        <w:lastRenderedPageBreak/>
        <w:t>Policy Roadmap</w:t>
      </w:r>
      <w:r>
        <w:rPr>
          <w:b/>
          <w:bCs/>
        </w:rPr>
        <w:br/>
        <w:t xml:space="preserve">Presenters: </w:t>
      </w:r>
      <w:r>
        <w:t>Joost Van Haren, Abbie Sorg</w:t>
      </w:r>
    </w:p>
    <w:p w14:paraId="558E16ED" w14:textId="77777777" w:rsidR="00862F4D" w:rsidRDefault="00862F4D" w:rsidP="00862F4D">
      <w:pPr>
        <w:pStyle w:val="ListParagraph"/>
        <w:ind w:left="1080"/>
      </w:pPr>
    </w:p>
    <w:p w14:paraId="52D2DD18" w14:textId="77777777" w:rsidR="004723D3" w:rsidRDefault="00862F4D" w:rsidP="00862F4D">
      <w:pPr>
        <w:pStyle w:val="ListParagraph"/>
        <w:ind w:left="1080"/>
      </w:pPr>
      <w:r>
        <w:t xml:space="preserve">The </w:t>
      </w:r>
      <w:r w:rsidR="00610916">
        <w:t>sub</w:t>
      </w:r>
      <w:r>
        <w:t>committee was given an overview of the policies that are up for review this year and wh</w:t>
      </w:r>
      <w:r w:rsidR="00E82BBE">
        <w:t>ich</w:t>
      </w:r>
      <w:r>
        <w:t xml:space="preserve"> areas will likely be addressed</w:t>
      </w:r>
      <w:r w:rsidR="004723D3">
        <w:t>:</w:t>
      </w:r>
    </w:p>
    <w:p w14:paraId="28B85900" w14:textId="636C750A" w:rsidR="00862F4D" w:rsidRDefault="006D7090" w:rsidP="004723D3">
      <w:pPr>
        <w:pStyle w:val="ListParagraph"/>
        <w:numPr>
          <w:ilvl w:val="0"/>
          <w:numId w:val="15"/>
        </w:numPr>
      </w:pPr>
      <w:r>
        <w:t>One potential new policy</w:t>
      </w:r>
      <w:r w:rsidR="00D07AD8">
        <w:t xml:space="preserve"> that would define the difference between professional and graduate programs</w:t>
      </w:r>
      <w:r>
        <w:t xml:space="preserve"> </w:t>
      </w:r>
      <w:r w:rsidR="004B5592">
        <w:t>wouldn’t go through Undergraduate Council/subcommittee review</w:t>
      </w:r>
      <w:r w:rsidR="009A718B">
        <w:t>.</w:t>
      </w:r>
    </w:p>
    <w:p w14:paraId="0491DD82" w14:textId="77777777" w:rsidR="004723D3" w:rsidRDefault="004723D3" w:rsidP="004723D3">
      <w:pPr>
        <w:pStyle w:val="ListParagraph"/>
        <w:numPr>
          <w:ilvl w:val="0"/>
          <w:numId w:val="15"/>
        </w:numPr>
      </w:pPr>
      <w:r>
        <w:t xml:space="preserve">Another potential new policy would define developmental courses; there are many courses assumed to be developmental that don’t count toward GPA like a normal course, but there’s no official definition of what </w:t>
      </w:r>
      <w:proofErr w:type="gramStart"/>
      <w:r>
        <w:t>is/is not a developmental course</w:t>
      </w:r>
      <w:proofErr w:type="gramEnd"/>
      <w:r>
        <w:t>.</w:t>
      </w:r>
    </w:p>
    <w:p w14:paraId="700709BF" w14:textId="0D3B2104" w:rsidR="004723D3" w:rsidRDefault="004723D3" w:rsidP="004723D3">
      <w:pPr>
        <w:pStyle w:val="ListParagraph"/>
        <w:numPr>
          <w:ilvl w:val="0"/>
          <w:numId w:val="15"/>
        </w:numPr>
      </w:pPr>
      <w:r>
        <w:t>An</w:t>
      </w:r>
      <w:r>
        <w:t xml:space="preserve"> existing</w:t>
      </w:r>
      <w:r>
        <w:t xml:space="preserve"> policy to amend would be the General Education Foundations Math policy by reducing references to specific courses. The </w:t>
      </w:r>
      <w:proofErr w:type="gramStart"/>
      <w:r>
        <w:t>Mathematics</w:t>
      </w:r>
      <w:proofErr w:type="gramEnd"/>
      <w:r>
        <w:t xml:space="preserve"> department wants to simplify this policy as the current phrasing regarding strands is confusing. The strands were originally created so each major could select the math level they wanted to require for their students. However, many departments have selected a strand and then limited which courses within that strand are acceptable. With so many departments selecting coursework at the granular level, there is some question whether there is a point to having the strands at all. </w:t>
      </w:r>
    </w:p>
    <w:p w14:paraId="2A907F2D" w14:textId="77777777" w:rsidR="004723D3" w:rsidRDefault="004723D3" w:rsidP="004723D3">
      <w:pPr>
        <w:pStyle w:val="ListParagraph"/>
        <w:numPr>
          <w:ilvl w:val="0"/>
          <w:numId w:val="15"/>
        </w:numPr>
      </w:pPr>
      <w:r>
        <w:t>Similarly, the General Education Foundations Writing policy is another that the responsible department wants to update. The English department is currently developing more foundations writing courses, but these could not be used to waive the requirement until the policy states that they may do so. This means that the options are to either update the policy each time that new Foundations Writing courses are created, or to remove references to specific courses to keep the policy evergreen.</w:t>
      </w:r>
    </w:p>
    <w:p w14:paraId="3A7DBB94" w14:textId="77777777" w:rsidR="004723D3" w:rsidRDefault="004723D3" w:rsidP="004723D3">
      <w:pPr>
        <w:pStyle w:val="ListParagraph"/>
        <w:ind w:left="1800"/>
      </w:pPr>
    </w:p>
    <w:p w14:paraId="0AAE55F5" w14:textId="281C23AA" w:rsidR="00862F4D" w:rsidRPr="00862F4D" w:rsidRDefault="00862F4D" w:rsidP="00862F4D">
      <w:pPr>
        <w:ind w:left="1080"/>
        <w:rPr>
          <w:u w:val="single"/>
        </w:rPr>
      </w:pPr>
      <w:r w:rsidRPr="00862F4D">
        <w:rPr>
          <w:u w:val="single"/>
        </w:rPr>
        <w:t>Discussion began:</w:t>
      </w:r>
    </w:p>
    <w:p w14:paraId="31BD8168" w14:textId="7B11272B" w:rsidR="009A718B" w:rsidRDefault="009A718B" w:rsidP="00862F4D">
      <w:pPr>
        <w:pStyle w:val="ListParagraph"/>
        <w:numPr>
          <w:ilvl w:val="0"/>
          <w:numId w:val="14"/>
        </w:numPr>
      </w:pPr>
      <w:r>
        <w:t xml:space="preserve">A subcommittee member asked if </w:t>
      </w:r>
      <w:r w:rsidR="003A6EEB">
        <w:t>Accelerated Master’s Programs would be a consideration in a policy that defines graduate and professional programs.</w:t>
      </w:r>
    </w:p>
    <w:p w14:paraId="01D7E678" w14:textId="71F68F89" w:rsidR="00AA3A02" w:rsidRDefault="00337702" w:rsidP="00AA3A02">
      <w:pPr>
        <w:pStyle w:val="ListParagraph"/>
        <w:numPr>
          <w:ilvl w:val="1"/>
          <w:numId w:val="14"/>
        </w:numPr>
      </w:pPr>
      <w:r>
        <w:t xml:space="preserve">The subcommittee was informed that if </w:t>
      </w:r>
      <w:r w:rsidR="009A7889">
        <w:t xml:space="preserve">Accelerated Master’s Programs are part of the new policy, then </w:t>
      </w:r>
      <w:r w:rsidR="006C349D">
        <w:t xml:space="preserve">some discussion of the policy would occur at the subcommittee due to </w:t>
      </w:r>
      <w:r w:rsidR="004939BA">
        <w:t>the overlapping nature of AMPs with undergraduate degrees.</w:t>
      </w:r>
    </w:p>
    <w:p w14:paraId="5C3BB5FF" w14:textId="13F7636D" w:rsidR="00862F4D" w:rsidRDefault="00862F4D" w:rsidP="00867BDA">
      <w:pPr>
        <w:pStyle w:val="ListParagraph"/>
        <w:numPr>
          <w:ilvl w:val="0"/>
          <w:numId w:val="14"/>
        </w:numPr>
      </w:pPr>
      <w:r>
        <w:t>One member asked for clarification on the difference between developmental courses and success courses.</w:t>
      </w:r>
    </w:p>
    <w:p w14:paraId="74033687" w14:textId="2632D96B" w:rsidR="00862F4D" w:rsidRDefault="00862F4D" w:rsidP="00862F4D">
      <w:pPr>
        <w:pStyle w:val="ListParagraph"/>
        <w:numPr>
          <w:ilvl w:val="1"/>
          <w:numId w:val="14"/>
        </w:numPr>
      </w:pPr>
      <w:r>
        <w:t>Currently, there is no distinction between the two, giving further motive for creating a policy.</w:t>
      </w:r>
    </w:p>
    <w:p w14:paraId="2A541552" w14:textId="52F2CDD1" w:rsidR="00862F4D" w:rsidRDefault="00862F4D" w:rsidP="00867BDA">
      <w:pPr>
        <w:pStyle w:val="ListParagraph"/>
        <w:numPr>
          <w:ilvl w:val="0"/>
          <w:numId w:val="14"/>
        </w:numPr>
      </w:pPr>
      <w:r>
        <w:t xml:space="preserve">Another member asked whether </w:t>
      </w:r>
      <w:r w:rsidR="00867BDA">
        <w:t xml:space="preserve">success and developmental </w:t>
      </w:r>
      <w:r>
        <w:t xml:space="preserve">courses could be defined </w:t>
      </w:r>
      <w:proofErr w:type="gramStart"/>
      <w:r>
        <w:t>on</w:t>
      </w:r>
      <w:proofErr w:type="gramEnd"/>
      <w:r>
        <w:t xml:space="preserve"> the Course Types and Components policy instead of creating a new policy.</w:t>
      </w:r>
    </w:p>
    <w:p w14:paraId="16E0DA23" w14:textId="176E4185" w:rsidR="00862F4D" w:rsidRDefault="002E2F58" w:rsidP="00862F4D">
      <w:pPr>
        <w:pStyle w:val="ListParagraph"/>
        <w:numPr>
          <w:ilvl w:val="1"/>
          <w:numId w:val="14"/>
        </w:numPr>
      </w:pPr>
      <w:r>
        <w:t xml:space="preserve">An Office of the Registrar representative stated that this was an option, though </w:t>
      </w:r>
      <w:r w:rsidR="00862F4D">
        <w:t xml:space="preserve">the policy would need to be carefully written </w:t>
      </w:r>
      <w:r>
        <w:t xml:space="preserve">to distinguish between component types and </w:t>
      </w:r>
      <w:r w:rsidR="00A15238">
        <w:t>course</w:t>
      </w:r>
      <w:r w:rsidR="00F049B7">
        <w:t xml:space="preserve"> definitions</w:t>
      </w:r>
      <w:r w:rsidR="00A15238">
        <w:t xml:space="preserve">, so </w:t>
      </w:r>
      <w:r w:rsidR="006B64D3">
        <w:t>it is understood that the two are not mutually exclusive</w:t>
      </w:r>
      <w:r w:rsidR="000D4D16">
        <w:t>.</w:t>
      </w:r>
    </w:p>
    <w:p w14:paraId="66C2B0BF" w14:textId="0889315A" w:rsidR="002B3033" w:rsidRPr="00442BAF" w:rsidRDefault="002B3033" w:rsidP="00B95D7B">
      <w:pPr>
        <w:rPr>
          <w:b/>
          <w:bCs/>
        </w:rPr>
      </w:pPr>
      <w:r w:rsidRPr="00442BAF">
        <w:rPr>
          <w:b/>
          <w:bCs/>
        </w:rPr>
        <w:lastRenderedPageBreak/>
        <w:t xml:space="preserve">The subcommittee was asked to gather feedback from their colleges regarding the discussed policies and any others on the provided roadmap </w:t>
      </w:r>
      <w:proofErr w:type="gramStart"/>
      <w:r w:rsidR="00DE09BA">
        <w:rPr>
          <w:b/>
          <w:bCs/>
        </w:rPr>
        <w:t>in order to</w:t>
      </w:r>
      <w:proofErr w:type="gramEnd"/>
      <w:r w:rsidR="00DE09BA">
        <w:rPr>
          <w:b/>
          <w:bCs/>
        </w:rPr>
        <w:t xml:space="preserve"> continue the </w:t>
      </w:r>
      <w:r w:rsidRPr="00442BAF">
        <w:rPr>
          <w:b/>
          <w:bCs/>
        </w:rPr>
        <w:t>conversation at the November subcommittee meeting.</w:t>
      </w:r>
    </w:p>
    <w:p w14:paraId="031A19B6" w14:textId="6A2D4BD2" w:rsidR="00B95D7B" w:rsidRDefault="00B95D7B" w:rsidP="00B95D7B">
      <w:r>
        <w:t xml:space="preserve">Joost adjourned the meeting at </w:t>
      </w:r>
      <w:r w:rsidR="00442C01">
        <w:t>4:</w:t>
      </w:r>
      <w:r w:rsidR="00764241">
        <w:t>59</w:t>
      </w:r>
      <w:r w:rsidR="00442C01">
        <w:t xml:space="preserve"> p.m. The next subcommittee meeting will be held on </w:t>
      </w:r>
      <w:r w:rsidR="00764241">
        <w:t>Novem</w:t>
      </w:r>
      <w:r w:rsidR="00442C01">
        <w:t xml:space="preserve">ber </w:t>
      </w:r>
      <w:r w:rsidR="007378BF">
        <w:t>1</w:t>
      </w:r>
      <w:r w:rsidR="00764241">
        <w:t>4</w:t>
      </w:r>
      <w:r w:rsidR="00442C01">
        <w:t>, 202</w:t>
      </w:r>
      <w:r w:rsidR="007378BF">
        <w:t>3</w:t>
      </w:r>
      <w:r w:rsidR="00442C01">
        <w:t>.</w:t>
      </w:r>
    </w:p>
    <w:p w14:paraId="6025BC02" w14:textId="51CAE464" w:rsidR="00442C01" w:rsidRPr="00442C01" w:rsidRDefault="00442C01" w:rsidP="00B95D7B">
      <w:pPr>
        <w:rPr>
          <w:i/>
          <w:iCs/>
        </w:rPr>
      </w:pPr>
      <w:r>
        <w:rPr>
          <w:i/>
          <w:iCs/>
        </w:rPr>
        <w:t xml:space="preserve">Respectfully submitted by Cassidy Bartlett, </w:t>
      </w:r>
      <w:proofErr w:type="gramStart"/>
      <w:r w:rsidR="00764241">
        <w:rPr>
          <w:i/>
          <w:iCs/>
        </w:rPr>
        <w:t>10</w:t>
      </w:r>
      <w:r>
        <w:rPr>
          <w:i/>
          <w:iCs/>
        </w:rPr>
        <w:t>/</w:t>
      </w:r>
      <w:r w:rsidR="007378BF">
        <w:rPr>
          <w:i/>
          <w:iCs/>
        </w:rPr>
        <w:t>1</w:t>
      </w:r>
      <w:r w:rsidR="00442BAF">
        <w:rPr>
          <w:i/>
          <w:iCs/>
        </w:rPr>
        <w:t>9</w:t>
      </w:r>
      <w:r>
        <w:rPr>
          <w:i/>
          <w:iCs/>
        </w:rPr>
        <w:t>/2</w:t>
      </w:r>
      <w:r w:rsidR="007378BF">
        <w:rPr>
          <w:i/>
          <w:iCs/>
        </w:rPr>
        <w:t>3</w:t>
      </w:r>
      <w:proofErr w:type="gramEnd"/>
    </w:p>
    <w:sectPr w:rsidR="00442C01"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C0B0" w14:textId="77777777" w:rsidR="00943CBD" w:rsidRDefault="00943CBD" w:rsidP="00E52837">
      <w:pPr>
        <w:spacing w:after="0" w:line="240" w:lineRule="auto"/>
      </w:pPr>
      <w:r>
        <w:separator/>
      </w:r>
    </w:p>
  </w:endnote>
  <w:endnote w:type="continuationSeparator" w:id="0">
    <w:p w14:paraId="43C42BC2" w14:textId="77777777" w:rsidR="00943CBD" w:rsidRDefault="00943CBD" w:rsidP="00E52837">
      <w:pPr>
        <w:spacing w:after="0" w:line="240" w:lineRule="auto"/>
      </w:pPr>
      <w:r>
        <w:continuationSeparator/>
      </w:r>
    </w:p>
  </w:endnote>
  <w:endnote w:type="continuationNotice" w:id="1">
    <w:p w14:paraId="31D5CF17" w14:textId="77777777" w:rsidR="00237A3A" w:rsidRDefault="00237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EF70" w14:textId="77777777" w:rsidR="00943CBD" w:rsidRDefault="00943CBD" w:rsidP="00E52837">
      <w:pPr>
        <w:spacing w:after="0" w:line="240" w:lineRule="auto"/>
      </w:pPr>
      <w:r>
        <w:separator/>
      </w:r>
    </w:p>
  </w:footnote>
  <w:footnote w:type="continuationSeparator" w:id="0">
    <w:p w14:paraId="4BC0C8A1" w14:textId="77777777" w:rsidR="00943CBD" w:rsidRDefault="00943CBD" w:rsidP="00E52837">
      <w:pPr>
        <w:spacing w:after="0" w:line="240" w:lineRule="auto"/>
      </w:pPr>
      <w:r>
        <w:continuationSeparator/>
      </w:r>
    </w:p>
  </w:footnote>
  <w:footnote w:type="continuationNotice" w:id="1">
    <w:p w14:paraId="460DDC6E" w14:textId="77777777" w:rsidR="00237A3A" w:rsidRDefault="00237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16AE92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B50915"/>
    <w:multiLevelType w:val="hybridMultilevel"/>
    <w:tmpl w:val="51E63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1215F0"/>
    <w:multiLevelType w:val="hybridMultilevel"/>
    <w:tmpl w:val="77D807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3372099">
    <w:abstractNumId w:val="3"/>
  </w:num>
  <w:num w:numId="2" w16cid:durableId="836849116">
    <w:abstractNumId w:val="4"/>
  </w:num>
  <w:num w:numId="3" w16cid:durableId="847720548">
    <w:abstractNumId w:val="12"/>
  </w:num>
  <w:num w:numId="4" w16cid:durableId="812598981">
    <w:abstractNumId w:val="7"/>
  </w:num>
  <w:num w:numId="5" w16cid:durableId="725950063">
    <w:abstractNumId w:val="11"/>
  </w:num>
  <w:num w:numId="6" w16cid:durableId="1570773289">
    <w:abstractNumId w:val="13"/>
  </w:num>
  <w:num w:numId="7" w16cid:durableId="1158770392">
    <w:abstractNumId w:val="6"/>
  </w:num>
  <w:num w:numId="8" w16cid:durableId="293951381">
    <w:abstractNumId w:val="9"/>
  </w:num>
  <w:num w:numId="9" w16cid:durableId="1806046292">
    <w:abstractNumId w:val="2"/>
  </w:num>
  <w:num w:numId="10" w16cid:durableId="295530032">
    <w:abstractNumId w:val="0"/>
  </w:num>
  <w:num w:numId="11" w16cid:durableId="1496264514">
    <w:abstractNumId w:val="8"/>
  </w:num>
  <w:num w:numId="12" w16cid:durableId="1201210796">
    <w:abstractNumId w:val="10"/>
  </w:num>
  <w:num w:numId="13" w16cid:durableId="694814700">
    <w:abstractNumId w:val="1"/>
  </w:num>
  <w:num w:numId="14" w16cid:durableId="1710101817">
    <w:abstractNumId w:val="14"/>
  </w:num>
  <w:num w:numId="15" w16cid:durableId="634454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02808"/>
    <w:rsid w:val="00014A50"/>
    <w:rsid w:val="00017E3A"/>
    <w:rsid w:val="0002345C"/>
    <w:rsid w:val="000254B3"/>
    <w:rsid w:val="00027D9F"/>
    <w:rsid w:val="000478B2"/>
    <w:rsid w:val="00074322"/>
    <w:rsid w:val="00074C94"/>
    <w:rsid w:val="000838E3"/>
    <w:rsid w:val="00087644"/>
    <w:rsid w:val="000D4D16"/>
    <w:rsid w:val="000F2C04"/>
    <w:rsid w:val="00101D4F"/>
    <w:rsid w:val="00101E51"/>
    <w:rsid w:val="00111D43"/>
    <w:rsid w:val="001237C7"/>
    <w:rsid w:val="00133CAC"/>
    <w:rsid w:val="00140BF4"/>
    <w:rsid w:val="00145088"/>
    <w:rsid w:val="00155959"/>
    <w:rsid w:val="00160FEE"/>
    <w:rsid w:val="00177F68"/>
    <w:rsid w:val="001A6F1D"/>
    <w:rsid w:val="001B11F6"/>
    <w:rsid w:val="001B195D"/>
    <w:rsid w:val="001B51BC"/>
    <w:rsid w:val="001B7317"/>
    <w:rsid w:val="001C0CB4"/>
    <w:rsid w:val="001D0DA3"/>
    <w:rsid w:val="001D4B01"/>
    <w:rsid w:val="001D679C"/>
    <w:rsid w:val="001E39D8"/>
    <w:rsid w:val="001E66C1"/>
    <w:rsid w:val="001F1097"/>
    <w:rsid w:val="001F7B6D"/>
    <w:rsid w:val="00205CD4"/>
    <w:rsid w:val="00211B7E"/>
    <w:rsid w:val="00211DBE"/>
    <w:rsid w:val="00213328"/>
    <w:rsid w:val="00213873"/>
    <w:rsid w:val="00215982"/>
    <w:rsid w:val="00227E81"/>
    <w:rsid w:val="00237A3A"/>
    <w:rsid w:val="002425F0"/>
    <w:rsid w:val="00244DFB"/>
    <w:rsid w:val="0025256B"/>
    <w:rsid w:val="00263079"/>
    <w:rsid w:val="00267AC4"/>
    <w:rsid w:val="0027747B"/>
    <w:rsid w:val="00285775"/>
    <w:rsid w:val="00295B71"/>
    <w:rsid w:val="002B3033"/>
    <w:rsid w:val="002C00A6"/>
    <w:rsid w:val="002E2F58"/>
    <w:rsid w:val="002E4510"/>
    <w:rsid w:val="002F5461"/>
    <w:rsid w:val="00301D76"/>
    <w:rsid w:val="00303EF6"/>
    <w:rsid w:val="00305E03"/>
    <w:rsid w:val="00306184"/>
    <w:rsid w:val="0030687F"/>
    <w:rsid w:val="00311D8B"/>
    <w:rsid w:val="0031222D"/>
    <w:rsid w:val="003228C0"/>
    <w:rsid w:val="003304E2"/>
    <w:rsid w:val="00337702"/>
    <w:rsid w:val="00350E2A"/>
    <w:rsid w:val="003542D0"/>
    <w:rsid w:val="0035618F"/>
    <w:rsid w:val="00356CFB"/>
    <w:rsid w:val="00371113"/>
    <w:rsid w:val="003758DB"/>
    <w:rsid w:val="003A6EEB"/>
    <w:rsid w:val="003C37CE"/>
    <w:rsid w:val="003D5420"/>
    <w:rsid w:val="003E585A"/>
    <w:rsid w:val="003F4F4C"/>
    <w:rsid w:val="003F5398"/>
    <w:rsid w:val="004007EC"/>
    <w:rsid w:val="004106FB"/>
    <w:rsid w:val="004242A6"/>
    <w:rsid w:val="00431DFB"/>
    <w:rsid w:val="00442BAF"/>
    <w:rsid w:val="00442C01"/>
    <w:rsid w:val="0045257C"/>
    <w:rsid w:val="00457F35"/>
    <w:rsid w:val="00464EF6"/>
    <w:rsid w:val="00466AF9"/>
    <w:rsid w:val="00472166"/>
    <w:rsid w:val="004723D3"/>
    <w:rsid w:val="00474BB2"/>
    <w:rsid w:val="00483941"/>
    <w:rsid w:val="004939BA"/>
    <w:rsid w:val="00494F80"/>
    <w:rsid w:val="004A2604"/>
    <w:rsid w:val="004B086E"/>
    <w:rsid w:val="004B557E"/>
    <w:rsid w:val="004B5592"/>
    <w:rsid w:val="004C083B"/>
    <w:rsid w:val="004E6300"/>
    <w:rsid w:val="004E6EE8"/>
    <w:rsid w:val="004E7F07"/>
    <w:rsid w:val="004F157E"/>
    <w:rsid w:val="004F2871"/>
    <w:rsid w:val="00512FF5"/>
    <w:rsid w:val="005338C1"/>
    <w:rsid w:val="00540978"/>
    <w:rsid w:val="005470B7"/>
    <w:rsid w:val="005607C1"/>
    <w:rsid w:val="00572601"/>
    <w:rsid w:val="00576E2F"/>
    <w:rsid w:val="00577240"/>
    <w:rsid w:val="00586A84"/>
    <w:rsid w:val="00596AF4"/>
    <w:rsid w:val="005A028B"/>
    <w:rsid w:val="005A667E"/>
    <w:rsid w:val="005A7664"/>
    <w:rsid w:val="005D0A09"/>
    <w:rsid w:val="005D138C"/>
    <w:rsid w:val="005F4FD8"/>
    <w:rsid w:val="005F6913"/>
    <w:rsid w:val="00603DE8"/>
    <w:rsid w:val="00607D74"/>
    <w:rsid w:val="00610916"/>
    <w:rsid w:val="006127AA"/>
    <w:rsid w:val="00616843"/>
    <w:rsid w:val="00636CB5"/>
    <w:rsid w:val="00641BA8"/>
    <w:rsid w:val="00650038"/>
    <w:rsid w:val="0065303D"/>
    <w:rsid w:val="006548ED"/>
    <w:rsid w:val="0067152A"/>
    <w:rsid w:val="00696F85"/>
    <w:rsid w:val="00697AD3"/>
    <w:rsid w:val="006A4A26"/>
    <w:rsid w:val="006B40A6"/>
    <w:rsid w:val="006B494F"/>
    <w:rsid w:val="006B64D3"/>
    <w:rsid w:val="006C2184"/>
    <w:rsid w:val="006C349D"/>
    <w:rsid w:val="006C7D20"/>
    <w:rsid w:val="006D7090"/>
    <w:rsid w:val="006F11AE"/>
    <w:rsid w:val="006F2BC2"/>
    <w:rsid w:val="006F642B"/>
    <w:rsid w:val="00723AFE"/>
    <w:rsid w:val="00735DEB"/>
    <w:rsid w:val="007378BF"/>
    <w:rsid w:val="00742ED5"/>
    <w:rsid w:val="00742F67"/>
    <w:rsid w:val="00750D90"/>
    <w:rsid w:val="00761D60"/>
    <w:rsid w:val="00764241"/>
    <w:rsid w:val="00770ACF"/>
    <w:rsid w:val="00785190"/>
    <w:rsid w:val="00792CAD"/>
    <w:rsid w:val="00794E37"/>
    <w:rsid w:val="007A1184"/>
    <w:rsid w:val="007B694C"/>
    <w:rsid w:val="007C636F"/>
    <w:rsid w:val="007D48FF"/>
    <w:rsid w:val="007D56B1"/>
    <w:rsid w:val="007E070C"/>
    <w:rsid w:val="00811899"/>
    <w:rsid w:val="0081325E"/>
    <w:rsid w:val="00813D22"/>
    <w:rsid w:val="00824C9B"/>
    <w:rsid w:val="008349A7"/>
    <w:rsid w:val="00844CEF"/>
    <w:rsid w:val="00852492"/>
    <w:rsid w:val="00862F4D"/>
    <w:rsid w:val="0086633A"/>
    <w:rsid w:val="00867BDA"/>
    <w:rsid w:val="0088003C"/>
    <w:rsid w:val="0088228C"/>
    <w:rsid w:val="008828B5"/>
    <w:rsid w:val="00883F50"/>
    <w:rsid w:val="008A4B9B"/>
    <w:rsid w:val="008A634B"/>
    <w:rsid w:val="008D6199"/>
    <w:rsid w:val="008D7AC4"/>
    <w:rsid w:val="008E4846"/>
    <w:rsid w:val="008F6CF3"/>
    <w:rsid w:val="00900B41"/>
    <w:rsid w:val="009036B0"/>
    <w:rsid w:val="00910AF4"/>
    <w:rsid w:val="00924158"/>
    <w:rsid w:val="00926540"/>
    <w:rsid w:val="00930C66"/>
    <w:rsid w:val="009358E3"/>
    <w:rsid w:val="00942DB0"/>
    <w:rsid w:val="00943CBD"/>
    <w:rsid w:val="009529CB"/>
    <w:rsid w:val="00971C22"/>
    <w:rsid w:val="009803D5"/>
    <w:rsid w:val="00983906"/>
    <w:rsid w:val="009975EB"/>
    <w:rsid w:val="009A02F3"/>
    <w:rsid w:val="009A3304"/>
    <w:rsid w:val="009A718B"/>
    <w:rsid w:val="009A7889"/>
    <w:rsid w:val="009B4096"/>
    <w:rsid w:val="009B5BDF"/>
    <w:rsid w:val="009E3610"/>
    <w:rsid w:val="00A00399"/>
    <w:rsid w:val="00A120C8"/>
    <w:rsid w:val="00A12E01"/>
    <w:rsid w:val="00A15238"/>
    <w:rsid w:val="00A16C18"/>
    <w:rsid w:val="00A217E2"/>
    <w:rsid w:val="00A273CF"/>
    <w:rsid w:val="00A46EC9"/>
    <w:rsid w:val="00A54BCC"/>
    <w:rsid w:val="00A65047"/>
    <w:rsid w:val="00A6758F"/>
    <w:rsid w:val="00A87C59"/>
    <w:rsid w:val="00A9521F"/>
    <w:rsid w:val="00AA3A02"/>
    <w:rsid w:val="00AA5116"/>
    <w:rsid w:val="00AC3066"/>
    <w:rsid w:val="00AC7408"/>
    <w:rsid w:val="00AD14C7"/>
    <w:rsid w:val="00AD15E0"/>
    <w:rsid w:val="00AD4F2F"/>
    <w:rsid w:val="00AE03BB"/>
    <w:rsid w:val="00AE7C01"/>
    <w:rsid w:val="00AF0684"/>
    <w:rsid w:val="00AF2290"/>
    <w:rsid w:val="00AF4A22"/>
    <w:rsid w:val="00B034A3"/>
    <w:rsid w:val="00B1087C"/>
    <w:rsid w:val="00B1219A"/>
    <w:rsid w:val="00B5526A"/>
    <w:rsid w:val="00B56843"/>
    <w:rsid w:val="00B62D5A"/>
    <w:rsid w:val="00B85012"/>
    <w:rsid w:val="00B87E4A"/>
    <w:rsid w:val="00B95D7B"/>
    <w:rsid w:val="00BF41AA"/>
    <w:rsid w:val="00C04068"/>
    <w:rsid w:val="00C112E4"/>
    <w:rsid w:val="00C25B72"/>
    <w:rsid w:val="00C44156"/>
    <w:rsid w:val="00C56D61"/>
    <w:rsid w:val="00C905A1"/>
    <w:rsid w:val="00C941C9"/>
    <w:rsid w:val="00C95C9F"/>
    <w:rsid w:val="00CA0ADE"/>
    <w:rsid w:val="00CA145E"/>
    <w:rsid w:val="00CA182C"/>
    <w:rsid w:val="00CA51E6"/>
    <w:rsid w:val="00CB14A6"/>
    <w:rsid w:val="00CB28D9"/>
    <w:rsid w:val="00CD0946"/>
    <w:rsid w:val="00CE302B"/>
    <w:rsid w:val="00CE5BF3"/>
    <w:rsid w:val="00CF138A"/>
    <w:rsid w:val="00CF3E1C"/>
    <w:rsid w:val="00D07AD8"/>
    <w:rsid w:val="00D12E17"/>
    <w:rsid w:val="00D169C8"/>
    <w:rsid w:val="00D23718"/>
    <w:rsid w:val="00D256F8"/>
    <w:rsid w:val="00D26222"/>
    <w:rsid w:val="00D5154E"/>
    <w:rsid w:val="00D65FF9"/>
    <w:rsid w:val="00D735A1"/>
    <w:rsid w:val="00D74D94"/>
    <w:rsid w:val="00D76C67"/>
    <w:rsid w:val="00D83746"/>
    <w:rsid w:val="00D91233"/>
    <w:rsid w:val="00D92101"/>
    <w:rsid w:val="00D97E83"/>
    <w:rsid w:val="00DA2926"/>
    <w:rsid w:val="00DA78D3"/>
    <w:rsid w:val="00DB5203"/>
    <w:rsid w:val="00DD2558"/>
    <w:rsid w:val="00DE09BA"/>
    <w:rsid w:val="00DE438F"/>
    <w:rsid w:val="00DF1660"/>
    <w:rsid w:val="00DF41C2"/>
    <w:rsid w:val="00DF686F"/>
    <w:rsid w:val="00E044BE"/>
    <w:rsid w:val="00E171FB"/>
    <w:rsid w:val="00E276FF"/>
    <w:rsid w:val="00E33BA3"/>
    <w:rsid w:val="00E40258"/>
    <w:rsid w:val="00E439F9"/>
    <w:rsid w:val="00E52837"/>
    <w:rsid w:val="00E62D27"/>
    <w:rsid w:val="00E6313C"/>
    <w:rsid w:val="00E67D8B"/>
    <w:rsid w:val="00E82BBE"/>
    <w:rsid w:val="00E83DAD"/>
    <w:rsid w:val="00E842BF"/>
    <w:rsid w:val="00E972B4"/>
    <w:rsid w:val="00EA2018"/>
    <w:rsid w:val="00EA4143"/>
    <w:rsid w:val="00EA4FB7"/>
    <w:rsid w:val="00EC40F7"/>
    <w:rsid w:val="00ED0771"/>
    <w:rsid w:val="00EE1A65"/>
    <w:rsid w:val="00EE39B1"/>
    <w:rsid w:val="00EF2083"/>
    <w:rsid w:val="00F01386"/>
    <w:rsid w:val="00F049B7"/>
    <w:rsid w:val="00F178E4"/>
    <w:rsid w:val="00F30E80"/>
    <w:rsid w:val="00F352E3"/>
    <w:rsid w:val="00F43824"/>
    <w:rsid w:val="00F46D52"/>
    <w:rsid w:val="00F473F2"/>
    <w:rsid w:val="00F53089"/>
    <w:rsid w:val="00F643A6"/>
    <w:rsid w:val="00F652BE"/>
    <w:rsid w:val="00F81D2C"/>
    <w:rsid w:val="00F82C15"/>
    <w:rsid w:val="00FA1723"/>
    <w:rsid w:val="00FA7367"/>
    <w:rsid w:val="00FB6814"/>
    <w:rsid w:val="00FC0FB8"/>
    <w:rsid w:val="00FC2D14"/>
    <w:rsid w:val="00FD12B2"/>
    <w:rsid w:val="00FD4C5E"/>
    <w:rsid w:val="00FD6351"/>
    <w:rsid w:val="00FE0A0D"/>
    <w:rsid w:val="00FE1002"/>
    <w:rsid w:val="00FE66FD"/>
    <w:rsid w:val="00FF59EF"/>
    <w:rsid w:val="10C311E7"/>
    <w:rsid w:val="3BF175E9"/>
    <w:rsid w:val="3E3C124E"/>
    <w:rsid w:val="60510EB8"/>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chartTrackingRefBased/>
  <w15:docId w15:val="{5043AED8-E4AE-4D1B-9639-E0D1766A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FWX4FJ7X4RDS-203526151-34732</_dlc_DocId>
    <_dlc_DocIdUrl xmlns="70931a3f-c727-45b4-adc7-e3f907e5eefd">
      <Url>https://emailarizona.sharepoint.com/sites/REG-Registrar/_layouts/15/DocIdRedir.aspx?ID=FWX4FJ7X4RDS-203526151-34732</Url>
      <Description>FWX4FJ7X4RDS-203526151-34732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5" ma:contentTypeDescription="Create a new document." ma:contentTypeScope="" ma:versionID="c620f5dd65477d08545d06aff7d87e6d">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6b2312cf0015787a018bc23c89c6ab1e"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2.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3.xml><?xml version="1.0" encoding="utf-8"?>
<ds:datastoreItem xmlns:ds="http://schemas.openxmlformats.org/officeDocument/2006/customXml" ds:itemID="{9B9167E7-70E4-4EEC-9FFA-1B532E0F6072}">
  <ds:schemaRefs>
    <ds:schemaRef ds:uri="38e65459-93d5-4e2b-8b64-e5139aaea36b"/>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70931a3f-c727-45b4-adc7-e3f907e5eefd"/>
    <ds:schemaRef ds:uri="http://purl.org/dc/elements/1.1/"/>
  </ds:schemaRefs>
</ds:datastoreItem>
</file>

<file path=customXml/itemProps4.xml><?xml version="1.0" encoding="utf-8"?>
<ds:datastoreItem xmlns:ds="http://schemas.openxmlformats.org/officeDocument/2006/customXml" ds:itemID="{A8C153CA-57BB-4034-B614-57B6E5B5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2023-10-20T16:47:00Z</dcterms:created>
  <dcterms:modified xsi:type="dcterms:W3CDTF">2023-10-20T16:47:00Z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bb20b74a-dd80-4fa7-9d5b-8ab8168da83a</vt:lpwstr>
  </property>
  <property fmtid="{D5CDD505-2E9C-101B-9397-08002B2CF9AE}" pid="4" name="MediaServiceImageTags">
    <vt:lpwstr/>
  </property>
</Properties>
</file>