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182C" w14:textId="7974D7AD" w:rsidR="0018492B" w:rsidRDefault="005F5E98" w:rsidP="005F5E98">
      <w:pPr>
        <w:pStyle w:val="Heading1"/>
      </w:pPr>
      <w:r>
        <w:t>2021 – 2022 Academic Policy Roadmap</w:t>
      </w:r>
      <w:r w:rsidR="00314CB6">
        <w:t xml:space="preserve"> </w:t>
      </w:r>
    </w:p>
    <w:p w14:paraId="3E47BAD8" w14:textId="60D7CEF4" w:rsidR="00982C63" w:rsidRDefault="00982C63" w:rsidP="00982C63"/>
    <w:p w14:paraId="167DA713" w14:textId="09E2C03F" w:rsidR="00975ACF" w:rsidRDefault="00975ACF" w:rsidP="008D7F7F">
      <w:pPr>
        <w:pStyle w:val="Heading2"/>
      </w:pPr>
      <w:r>
        <w:t>Policies to Revise</w:t>
      </w:r>
    </w:p>
    <w:p w14:paraId="57DB2C2A" w14:textId="62A86BBD" w:rsidR="0027415D" w:rsidRPr="004F658D" w:rsidRDefault="0027415D" w:rsidP="00587E85">
      <w:pPr>
        <w:ind w:left="360"/>
        <w:rPr>
          <w:bCs/>
          <w:sz w:val="24"/>
          <w:szCs w:val="24"/>
        </w:rPr>
      </w:pPr>
      <w:r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>Class Attendance, Participation, and Administrative Drop</w:t>
      </w:r>
      <w:r w:rsidR="00127AD2"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 xml:space="preserve"> |</w:t>
      </w:r>
      <w:r w:rsidRPr="00127AD2">
        <w:rPr>
          <w:b/>
          <w:sz w:val="24"/>
          <w:szCs w:val="24"/>
        </w:rPr>
        <w:t xml:space="preserve"> </w:t>
      </w:r>
      <w:hyperlink r:id="rId7" w:history="1">
        <w:r w:rsidRPr="00DD6C87">
          <w:rPr>
            <w:rStyle w:val="Hyperlink"/>
            <w:b/>
            <w:color w:val="AB0520" w:themeColor="accent1"/>
            <w:sz w:val="24"/>
            <w:szCs w:val="24"/>
          </w:rPr>
          <w:t>link</w:t>
        </w:r>
      </w:hyperlink>
    </w:p>
    <w:p w14:paraId="122E54F3" w14:textId="10D1AAA8" w:rsidR="00975ACF" w:rsidRDefault="005F3C7C" w:rsidP="00587E85">
      <w:pPr>
        <w:pStyle w:val="NoSpacing"/>
        <w:ind w:left="720"/>
        <w:rPr>
          <w:sz w:val="24"/>
          <w:szCs w:val="24"/>
        </w:rPr>
      </w:pPr>
      <w:r w:rsidRPr="00A1237B">
        <w:rPr>
          <w:b/>
          <w:bCs/>
          <w:sz w:val="24"/>
          <w:szCs w:val="24"/>
        </w:rPr>
        <w:t xml:space="preserve">Rationale: </w:t>
      </w:r>
      <w:r w:rsidR="00AF38C8" w:rsidRPr="00A1237B">
        <w:rPr>
          <w:sz w:val="24"/>
          <w:szCs w:val="24"/>
        </w:rPr>
        <w:t>Provost has asked us to revisit the At</w:t>
      </w:r>
      <w:r w:rsidRPr="00A1237B">
        <w:rPr>
          <w:sz w:val="24"/>
          <w:szCs w:val="24"/>
        </w:rPr>
        <w:t xml:space="preserve">tendance policy to incorporate many of the </w:t>
      </w:r>
      <w:r w:rsidR="00A1237B" w:rsidRPr="00A1237B">
        <w:rPr>
          <w:sz w:val="24"/>
          <w:szCs w:val="24"/>
        </w:rPr>
        <w:t xml:space="preserve">items from this last year’s modifications to </w:t>
      </w:r>
      <w:r w:rsidR="0039055A" w:rsidRPr="00A1237B">
        <w:rPr>
          <w:sz w:val="24"/>
          <w:szCs w:val="24"/>
        </w:rPr>
        <w:t>attendance</w:t>
      </w:r>
      <w:r w:rsidR="00A1237B" w:rsidRPr="00A1237B">
        <w:rPr>
          <w:sz w:val="24"/>
          <w:szCs w:val="24"/>
        </w:rPr>
        <w:t xml:space="preserve">.  </w:t>
      </w:r>
    </w:p>
    <w:p w14:paraId="056147C6" w14:textId="000B259D" w:rsidR="00534710" w:rsidRDefault="00534710" w:rsidP="00587E85">
      <w:pPr>
        <w:pStyle w:val="NoSpacing"/>
        <w:ind w:left="720"/>
        <w:rPr>
          <w:sz w:val="24"/>
          <w:szCs w:val="24"/>
        </w:rPr>
      </w:pPr>
    </w:p>
    <w:p w14:paraId="04B0B71A" w14:textId="4F38643F" w:rsidR="00534710" w:rsidRPr="004F658D" w:rsidRDefault="00534710" w:rsidP="0039055A">
      <w:pPr>
        <w:ind w:left="360"/>
        <w:rPr>
          <w:rFonts w:asciiTheme="majorHAnsi" w:eastAsiaTheme="majorEastAsia" w:hAnsiTheme="majorHAnsi" w:cstheme="majorBidi"/>
          <w:bCs/>
          <w:color w:val="1E5288" w:themeColor="accent5"/>
          <w:sz w:val="24"/>
          <w:szCs w:val="24"/>
        </w:rPr>
      </w:pPr>
      <w:r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>Audit Policy</w:t>
      </w:r>
      <w:r w:rsidR="00127AD2"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 xml:space="preserve"> |</w:t>
      </w:r>
      <w:r w:rsidRPr="004F658D">
        <w:rPr>
          <w:rFonts w:asciiTheme="majorHAnsi" w:eastAsiaTheme="majorEastAsia" w:hAnsiTheme="majorHAnsi" w:cstheme="majorBidi"/>
          <w:bCs/>
          <w:color w:val="1E5288" w:themeColor="accent5"/>
          <w:sz w:val="24"/>
          <w:szCs w:val="24"/>
        </w:rPr>
        <w:t xml:space="preserve"> </w:t>
      </w:r>
      <w:hyperlink r:id="rId8" w:history="1">
        <w:r w:rsidRPr="00DD6C87">
          <w:rPr>
            <w:rStyle w:val="Hyperlink"/>
            <w:rFonts w:asciiTheme="majorHAnsi" w:eastAsiaTheme="majorEastAsia" w:hAnsiTheme="majorHAnsi" w:cstheme="majorBidi"/>
            <w:b/>
            <w:sz w:val="24"/>
            <w:szCs w:val="24"/>
          </w:rPr>
          <w:t>link</w:t>
        </w:r>
      </w:hyperlink>
    </w:p>
    <w:p w14:paraId="4F30A71D" w14:textId="40EFEF84" w:rsidR="00534710" w:rsidRDefault="00534710" w:rsidP="00534710">
      <w:pPr>
        <w:pStyle w:val="NoSpacing"/>
        <w:ind w:left="720"/>
        <w:rPr>
          <w:sz w:val="24"/>
          <w:szCs w:val="24"/>
        </w:rPr>
      </w:pPr>
      <w:r w:rsidRPr="0039055A">
        <w:rPr>
          <w:b/>
          <w:bCs/>
          <w:sz w:val="24"/>
          <w:szCs w:val="24"/>
        </w:rPr>
        <w:t xml:space="preserve">Rationale: </w:t>
      </w:r>
      <w:r>
        <w:rPr>
          <w:sz w:val="24"/>
          <w:szCs w:val="24"/>
        </w:rPr>
        <w:t>remove</w:t>
      </w:r>
      <w:r w:rsidR="0039055A">
        <w:rPr>
          <w:sz w:val="24"/>
          <w:szCs w:val="24"/>
        </w:rPr>
        <w:t xml:space="preserve"> or incorporate </w:t>
      </w:r>
      <w:r>
        <w:rPr>
          <w:sz w:val="24"/>
          <w:szCs w:val="24"/>
        </w:rPr>
        <w:t xml:space="preserve">the </w:t>
      </w:r>
      <w:r w:rsidR="005E634D">
        <w:rPr>
          <w:sz w:val="24"/>
          <w:szCs w:val="24"/>
        </w:rPr>
        <w:t xml:space="preserve">Procedures </w:t>
      </w:r>
      <w:r w:rsidR="0039055A">
        <w:rPr>
          <w:sz w:val="24"/>
          <w:szCs w:val="24"/>
        </w:rPr>
        <w:t xml:space="preserve">– update to allow for auditing prior to first day of semester. </w:t>
      </w:r>
    </w:p>
    <w:p w14:paraId="4FC47325" w14:textId="303168FF" w:rsidR="00416357" w:rsidRPr="00127AD2" w:rsidRDefault="00416357" w:rsidP="00534710">
      <w:pPr>
        <w:pStyle w:val="NoSpacing"/>
        <w:ind w:left="720"/>
        <w:rPr>
          <w:b/>
          <w:sz w:val="24"/>
          <w:szCs w:val="24"/>
        </w:rPr>
      </w:pPr>
    </w:p>
    <w:p w14:paraId="7295DCAB" w14:textId="339728E3" w:rsidR="00033FC2" w:rsidRPr="004F658D" w:rsidRDefault="00033FC2" w:rsidP="00033FC2">
      <w:pPr>
        <w:ind w:left="360"/>
        <w:rPr>
          <w:rFonts w:asciiTheme="majorHAnsi" w:eastAsiaTheme="majorEastAsia" w:hAnsiTheme="majorHAnsi" w:cstheme="majorBidi"/>
          <w:bCs/>
          <w:color w:val="1E5288" w:themeColor="accent5"/>
          <w:sz w:val="24"/>
          <w:szCs w:val="24"/>
        </w:rPr>
      </w:pPr>
      <w:r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>Undergraduate Academic Petitions</w:t>
      </w:r>
      <w:r w:rsidR="00127AD2"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 xml:space="preserve"> |</w:t>
      </w:r>
      <w:r w:rsidR="00472780" w:rsidRPr="004F658D">
        <w:rPr>
          <w:rFonts w:asciiTheme="majorHAnsi" w:eastAsiaTheme="majorEastAsia" w:hAnsiTheme="majorHAnsi" w:cstheme="majorBidi"/>
          <w:bCs/>
          <w:color w:val="1E5288" w:themeColor="accent5"/>
          <w:sz w:val="24"/>
          <w:szCs w:val="24"/>
        </w:rPr>
        <w:t xml:space="preserve"> </w:t>
      </w:r>
      <w:hyperlink r:id="rId9" w:history="1">
        <w:r w:rsidR="00472780" w:rsidRPr="00DD6C87">
          <w:rPr>
            <w:rStyle w:val="Hyperlink"/>
            <w:rFonts w:asciiTheme="majorHAnsi" w:eastAsiaTheme="majorEastAsia" w:hAnsiTheme="majorHAnsi" w:cstheme="majorBidi"/>
            <w:b/>
            <w:sz w:val="24"/>
            <w:szCs w:val="24"/>
          </w:rPr>
          <w:t>link</w:t>
        </w:r>
      </w:hyperlink>
    </w:p>
    <w:p w14:paraId="11E2747D" w14:textId="6D21E847" w:rsidR="00033FC2" w:rsidRDefault="00033FC2" w:rsidP="00534710">
      <w:pPr>
        <w:pStyle w:val="NoSpacing"/>
        <w:ind w:left="720"/>
        <w:rPr>
          <w:sz w:val="24"/>
          <w:szCs w:val="24"/>
        </w:rPr>
      </w:pPr>
      <w:r w:rsidRPr="00472780">
        <w:rPr>
          <w:b/>
          <w:bCs/>
          <w:sz w:val="24"/>
          <w:szCs w:val="24"/>
        </w:rPr>
        <w:t>Rationale:</w:t>
      </w:r>
      <w:r>
        <w:rPr>
          <w:sz w:val="24"/>
          <w:szCs w:val="24"/>
        </w:rPr>
        <w:t xml:space="preserve"> add time limit for petitions to align with retroactive withdraw</w:t>
      </w:r>
      <w:r w:rsidR="00472780">
        <w:rPr>
          <w:sz w:val="24"/>
          <w:szCs w:val="24"/>
        </w:rPr>
        <w:t xml:space="preserve">; revise to be clearer for students. </w:t>
      </w:r>
    </w:p>
    <w:p w14:paraId="48D8DA2A" w14:textId="4236462A" w:rsidR="001D57CC" w:rsidRDefault="001D57CC" w:rsidP="00534710">
      <w:pPr>
        <w:pStyle w:val="NoSpacing"/>
        <w:ind w:left="720"/>
        <w:rPr>
          <w:sz w:val="24"/>
          <w:szCs w:val="24"/>
        </w:rPr>
      </w:pPr>
    </w:p>
    <w:p w14:paraId="372E88FB" w14:textId="4DB15830" w:rsidR="001D57CC" w:rsidRPr="004F658D" w:rsidRDefault="001D57CC" w:rsidP="001D57CC">
      <w:pPr>
        <w:ind w:left="360"/>
        <w:rPr>
          <w:bCs/>
          <w:sz w:val="24"/>
          <w:szCs w:val="24"/>
        </w:rPr>
      </w:pPr>
      <w:r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 xml:space="preserve">Choice of Catalog </w:t>
      </w:r>
      <w:r w:rsidR="00DD6C87"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>|</w:t>
      </w:r>
      <w:r w:rsidR="00DD6C87">
        <w:rPr>
          <w:rFonts w:asciiTheme="majorHAnsi" w:eastAsiaTheme="majorEastAsia" w:hAnsiTheme="majorHAnsi" w:cstheme="majorBidi"/>
          <w:bCs/>
          <w:color w:val="1E5288" w:themeColor="accent5"/>
          <w:sz w:val="24"/>
          <w:szCs w:val="24"/>
        </w:rPr>
        <w:t xml:space="preserve"> </w:t>
      </w:r>
      <w:hyperlink r:id="rId10" w:history="1">
        <w:r w:rsidRPr="00DD6C87">
          <w:rPr>
            <w:rStyle w:val="Hyperlink"/>
            <w:rFonts w:asciiTheme="majorHAnsi" w:eastAsiaTheme="majorEastAsia" w:hAnsiTheme="majorHAnsi" w:cstheme="majorBidi"/>
            <w:b/>
            <w:sz w:val="24"/>
            <w:szCs w:val="24"/>
          </w:rPr>
          <w:t>link</w:t>
        </w:r>
      </w:hyperlink>
    </w:p>
    <w:p w14:paraId="3B985309" w14:textId="30398C5F" w:rsidR="001D57CC" w:rsidRPr="00A1237B" w:rsidRDefault="001D57CC" w:rsidP="00534710">
      <w:pPr>
        <w:pStyle w:val="NoSpacing"/>
        <w:ind w:left="720"/>
        <w:rPr>
          <w:sz w:val="24"/>
          <w:szCs w:val="24"/>
        </w:rPr>
      </w:pPr>
      <w:r w:rsidRPr="0034244B">
        <w:rPr>
          <w:b/>
          <w:bCs/>
          <w:sz w:val="24"/>
          <w:szCs w:val="24"/>
        </w:rPr>
        <w:t>Rationale:</w:t>
      </w:r>
      <w:r>
        <w:rPr>
          <w:sz w:val="24"/>
          <w:szCs w:val="24"/>
        </w:rPr>
        <w:t xml:space="preserve"> rewrite or reformat to make clearer for students. </w:t>
      </w:r>
    </w:p>
    <w:p w14:paraId="4D494FA6" w14:textId="77777777" w:rsidR="008D7F7F" w:rsidRPr="008D7F7F" w:rsidRDefault="008D7F7F" w:rsidP="008D7F7F"/>
    <w:p w14:paraId="08B065BD" w14:textId="1BE4BFC7" w:rsidR="00982C63" w:rsidRDefault="00982C63" w:rsidP="00982C63">
      <w:pPr>
        <w:pStyle w:val="Heading2"/>
      </w:pPr>
      <w:r>
        <w:t>New Policies to Create</w:t>
      </w:r>
    </w:p>
    <w:p w14:paraId="25DFF9FE" w14:textId="15FC11B8" w:rsidR="005F3C7C" w:rsidRPr="00127AD2" w:rsidRDefault="001A4E11" w:rsidP="0034244B">
      <w:pPr>
        <w:ind w:left="360"/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</w:pPr>
      <w:r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>Posthumous</w:t>
      </w:r>
      <w:r w:rsidR="00975ACF" w:rsidRPr="00127AD2">
        <w:rPr>
          <w:rFonts w:asciiTheme="majorHAnsi" w:eastAsiaTheme="majorEastAsia" w:hAnsiTheme="majorHAnsi" w:cstheme="majorBidi"/>
          <w:b/>
          <w:color w:val="1E5288" w:themeColor="accent5"/>
          <w:sz w:val="24"/>
          <w:szCs w:val="24"/>
        </w:rPr>
        <w:t xml:space="preserve"> Degree</w:t>
      </w:r>
    </w:p>
    <w:p w14:paraId="36105FF7" w14:textId="6A5393B2" w:rsidR="00AF38C8" w:rsidRPr="0007221F" w:rsidRDefault="005F3C7C" w:rsidP="0007221F">
      <w:pPr>
        <w:pStyle w:val="NoSpacing"/>
        <w:ind w:left="720"/>
        <w:rPr>
          <w:sz w:val="24"/>
          <w:szCs w:val="24"/>
        </w:rPr>
      </w:pPr>
      <w:r w:rsidRPr="0007221F">
        <w:rPr>
          <w:b/>
          <w:bCs/>
          <w:sz w:val="24"/>
          <w:szCs w:val="24"/>
        </w:rPr>
        <w:t xml:space="preserve">Rationale: </w:t>
      </w:r>
      <w:r w:rsidR="00AF38C8" w:rsidRPr="0007221F">
        <w:rPr>
          <w:sz w:val="24"/>
          <w:szCs w:val="24"/>
        </w:rPr>
        <w:t xml:space="preserve">Currently have a procedure – want to codify this in policy to better support families. </w:t>
      </w:r>
    </w:p>
    <w:p w14:paraId="6E3C2F06" w14:textId="15E4F065" w:rsidR="00982C63" w:rsidRDefault="00982C63" w:rsidP="00982C63"/>
    <w:p w14:paraId="522B425A" w14:textId="186D98A4" w:rsidR="00982C63" w:rsidRDefault="00982C63" w:rsidP="00982C63">
      <w:pPr>
        <w:pStyle w:val="Heading2"/>
      </w:pPr>
      <w:r>
        <w:t>Policies to R</w:t>
      </w:r>
      <w:r w:rsidR="004F658D">
        <w:t>eview/Benchmark</w:t>
      </w:r>
    </w:p>
    <w:p w14:paraId="0AA635CA" w14:textId="003BE44B" w:rsidR="00206E16" w:rsidRPr="004F658D" w:rsidRDefault="00206E16" w:rsidP="00587E85">
      <w:pPr>
        <w:pStyle w:val="Heading3"/>
        <w:ind w:left="360"/>
        <w:rPr>
          <w:b w:val="0"/>
          <w:bCs/>
        </w:rPr>
      </w:pPr>
      <w:r w:rsidRPr="00127AD2">
        <w:t xml:space="preserve">Double </w:t>
      </w:r>
      <w:r w:rsidR="004F658D" w:rsidRPr="00127AD2">
        <w:t xml:space="preserve">Use of Courses (Double Dipping) </w:t>
      </w:r>
      <w:r w:rsidR="00DD6C87" w:rsidRPr="00127AD2">
        <w:t>|</w:t>
      </w:r>
      <w:r w:rsidR="00DD6C87">
        <w:rPr>
          <w:b w:val="0"/>
          <w:bCs/>
        </w:rPr>
        <w:t xml:space="preserve"> </w:t>
      </w:r>
      <w:hyperlink r:id="rId11" w:history="1">
        <w:r w:rsidR="004F658D" w:rsidRPr="00DD6C87">
          <w:rPr>
            <w:rStyle w:val="Hyperlink"/>
          </w:rPr>
          <w:t>link</w:t>
        </w:r>
      </w:hyperlink>
    </w:p>
    <w:p w14:paraId="7C99D155" w14:textId="38C5897F" w:rsidR="004F658D" w:rsidRPr="004F658D" w:rsidRDefault="00975ACF" w:rsidP="004F658D">
      <w:pPr>
        <w:pStyle w:val="Heading3"/>
        <w:ind w:left="360"/>
        <w:rPr>
          <w:b w:val="0"/>
          <w:bCs/>
        </w:rPr>
      </w:pPr>
      <w:r w:rsidRPr="00127AD2">
        <w:t xml:space="preserve">Grade Replacement </w:t>
      </w:r>
      <w:r w:rsidR="001A4E11" w:rsidRPr="00127AD2">
        <w:t>Opportunity</w:t>
      </w:r>
      <w:r w:rsidRPr="00127AD2">
        <w:t xml:space="preserve"> (GRO)</w:t>
      </w:r>
      <w:r w:rsidR="005F05B6" w:rsidRPr="00127AD2">
        <w:t xml:space="preserve"> </w:t>
      </w:r>
      <w:r w:rsidR="00DD6C87" w:rsidRPr="00127AD2">
        <w:t xml:space="preserve">| </w:t>
      </w:r>
      <w:hyperlink r:id="rId12" w:history="1">
        <w:r w:rsidR="005F05B6" w:rsidRPr="00DD6C87">
          <w:rPr>
            <w:rStyle w:val="Hyperlink"/>
          </w:rPr>
          <w:t>link</w:t>
        </w:r>
      </w:hyperlink>
    </w:p>
    <w:p w14:paraId="2EF433A4" w14:textId="03147F16" w:rsidR="002D2A1A" w:rsidRPr="004F658D" w:rsidRDefault="002D2A1A" w:rsidP="004F658D">
      <w:pPr>
        <w:pStyle w:val="Heading3"/>
        <w:ind w:left="360"/>
        <w:rPr>
          <w:b w:val="0"/>
          <w:bCs/>
        </w:rPr>
      </w:pPr>
      <w:r w:rsidRPr="00127AD2">
        <w:t xml:space="preserve">Repeating a course </w:t>
      </w:r>
      <w:r w:rsidR="00DD6C87" w:rsidRPr="00127AD2">
        <w:t>|</w:t>
      </w:r>
      <w:r w:rsidR="00DD6C87">
        <w:rPr>
          <w:b w:val="0"/>
          <w:bCs/>
        </w:rPr>
        <w:t xml:space="preserve"> </w:t>
      </w:r>
      <w:hyperlink r:id="rId13" w:history="1">
        <w:r w:rsidRPr="00DD6C87">
          <w:rPr>
            <w:rStyle w:val="Hyperlink"/>
          </w:rPr>
          <w:t>link</w:t>
        </w:r>
      </w:hyperlink>
    </w:p>
    <w:p w14:paraId="11E6B5C1" w14:textId="723A1C81" w:rsidR="001A4E11" w:rsidRPr="004F658D" w:rsidRDefault="001A4E11" w:rsidP="001A4E11">
      <w:pPr>
        <w:pStyle w:val="Heading3"/>
        <w:ind w:left="360"/>
        <w:rPr>
          <w:b w:val="0"/>
          <w:bCs/>
        </w:rPr>
      </w:pPr>
      <w:r w:rsidRPr="00127AD2">
        <w:t>Undergraduate Change of Schedule (Drop/Add) |Unit Maximum on Course Withdraws</w:t>
      </w:r>
      <w:r w:rsidR="00DD6C87" w:rsidRPr="00127AD2">
        <w:t xml:space="preserve"> |</w:t>
      </w:r>
      <w:r w:rsidR="00127AD2">
        <w:t xml:space="preserve"> </w:t>
      </w:r>
      <w:hyperlink r:id="rId14" w:history="1">
        <w:r w:rsidRPr="00DD6C87">
          <w:rPr>
            <w:rStyle w:val="Hyperlink"/>
          </w:rPr>
          <w:t>link</w:t>
        </w:r>
      </w:hyperlink>
    </w:p>
    <w:p w14:paraId="4113F4D2" w14:textId="77777777" w:rsidR="00975ACF" w:rsidRPr="00975ACF" w:rsidRDefault="00975ACF" w:rsidP="00975ACF"/>
    <w:sectPr w:rsidR="00975ACF" w:rsidRPr="00975ACF" w:rsidSect="009109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A94C" w14:textId="77777777" w:rsidR="00A15D87" w:rsidRDefault="00A15D87" w:rsidP="00A15D87">
      <w:pPr>
        <w:spacing w:after="0" w:line="240" w:lineRule="auto"/>
      </w:pPr>
      <w:r>
        <w:separator/>
      </w:r>
    </w:p>
  </w:endnote>
  <w:endnote w:type="continuationSeparator" w:id="0">
    <w:p w14:paraId="4C942573" w14:textId="77777777" w:rsidR="00A15D87" w:rsidRDefault="00A15D87" w:rsidP="00A15D87">
      <w:pPr>
        <w:spacing w:after="0" w:line="240" w:lineRule="auto"/>
      </w:pPr>
      <w:r>
        <w:continuationSeparator/>
      </w:r>
    </w:p>
  </w:endnote>
  <w:endnote w:type="continuationNotice" w:id="1">
    <w:p w14:paraId="71B61FE9" w14:textId="77777777" w:rsidR="0034244B" w:rsidRDefault="00342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BDF5" w14:textId="77777777" w:rsidR="00B550B5" w:rsidRDefault="00B55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51BE" w14:textId="22467640" w:rsidR="00A15D87" w:rsidRPr="00A15D87" w:rsidRDefault="00A15D87" w:rsidP="00A15D87">
    <w:pPr>
      <w:pStyle w:val="Footer"/>
      <w:jc w:val="right"/>
      <w:rPr>
        <w:i/>
        <w:iCs/>
      </w:rPr>
    </w:pPr>
    <w:r w:rsidRPr="00A15D87">
      <w:rPr>
        <w:i/>
        <w:iCs/>
      </w:rPr>
      <w:t xml:space="preserve">Last updated: </w:t>
    </w:r>
    <w:r w:rsidRPr="00A15D87">
      <w:rPr>
        <w:i/>
        <w:iCs/>
      </w:rPr>
      <w:fldChar w:fldCharType="begin"/>
    </w:r>
    <w:r w:rsidRPr="00A15D87">
      <w:rPr>
        <w:i/>
        <w:iCs/>
      </w:rPr>
      <w:instrText xml:space="preserve"> DATE \@ "M/d/yyyy h:mm am/pm" </w:instrText>
    </w:r>
    <w:r w:rsidRPr="00A15D87">
      <w:rPr>
        <w:i/>
        <w:iCs/>
      </w:rPr>
      <w:fldChar w:fldCharType="separate"/>
    </w:r>
    <w:r w:rsidR="007E3F0B">
      <w:rPr>
        <w:i/>
        <w:iCs/>
        <w:noProof/>
      </w:rPr>
      <w:t>8/24/2021 3:23 PM</w:t>
    </w:r>
    <w:r w:rsidRPr="00A15D87">
      <w:rPr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BE5F" w14:textId="77777777" w:rsidR="00B550B5" w:rsidRDefault="00B55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D704" w14:textId="77777777" w:rsidR="00A15D87" w:rsidRDefault="00A15D87" w:rsidP="00A15D87">
      <w:pPr>
        <w:spacing w:after="0" w:line="240" w:lineRule="auto"/>
      </w:pPr>
      <w:r>
        <w:separator/>
      </w:r>
    </w:p>
  </w:footnote>
  <w:footnote w:type="continuationSeparator" w:id="0">
    <w:p w14:paraId="44D32D76" w14:textId="77777777" w:rsidR="00A15D87" w:rsidRDefault="00A15D87" w:rsidP="00A15D87">
      <w:pPr>
        <w:spacing w:after="0" w:line="240" w:lineRule="auto"/>
      </w:pPr>
      <w:r>
        <w:continuationSeparator/>
      </w:r>
    </w:p>
  </w:footnote>
  <w:footnote w:type="continuationNotice" w:id="1">
    <w:p w14:paraId="5B93899E" w14:textId="77777777" w:rsidR="0034244B" w:rsidRDefault="00342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97AC" w14:textId="77777777" w:rsidR="00B550B5" w:rsidRDefault="00B55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3065" w14:textId="6BB9B839" w:rsidR="00A15D87" w:rsidRPr="00B550B5" w:rsidRDefault="00A15D87" w:rsidP="00A15D87">
    <w:pPr>
      <w:pStyle w:val="Header"/>
      <w:jc w:val="center"/>
      <w:rPr>
        <w:i/>
        <w:iCs/>
        <w:sz w:val="28"/>
        <w:szCs w:val="32"/>
      </w:rPr>
    </w:pPr>
    <w:r w:rsidRPr="00B550B5">
      <w:rPr>
        <w:i/>
        <w:iCs/>
        <w:sz w:val="28"/>
        <w:szCs w:val="32"/>
      </w:rPr>
      <w:t>DRAFT | For Discussion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2575" w14:textId="77777777" w:rsidR="00B550B5" w:rsidRDefault="00B55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24A90"/>
    <w:multiLevelType w:val="hybridMultilevel"/>
    <w:tmpl w:val="7978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A62C2"/>
    <w:multiLevelType w:val="hybridMultilevel"/>
    <w:tmpl w:val="F7C4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jIwszA2NTOwNLNQ0lEKTi0uzszPAykwrAUAfKSjTiwAAAA="/>
  </w:docVars>
  <w:rsids>
    <w:rsidRoot w:val="005F5E98"/>
    <w:rsid w:val="00033FC2"/>
    <w:rsid w:val="0007221F"/>
    <w:rsid w:val="00127AD2"/>
    <w:rsid w:val="0018492B"/>
    <w:rsid w:val="001A2FBD"/>
    <w:rsid w:val="001A4E11"/>
    <w:rsid w:val="001D57CC"/>
    <w:rsid w:val="00206E16"/>
    <w:rsid w:val="0027415D"/>
    <w:rsid w:val="002D2A1A"/>
    <w:rsid w:val="002D3FDA"/>
    <w:rsid w:val="00314CB6"/>
    <w:rsid w:val="0034244B"/>
    <w:rsid w:val="003835F6"/>
    <w:rsid w:val="0039055A"/>
    <w:rsid w:val="00416357"/>
    <w:rsid w:val="00472780"/>
    <w:rsid w:val="004F658D"/>
    <w:rsid w:val="00534710"/>
    <w:rsid w:val="00587E85"/>
    <w:rsid w:val="005E634D"/>
    <w:rsid w:val="005F05B6"/>
    <w:rsid w:val="005F3C7C"/>
    <w:rsid w:val="005F5E98"/>
    <w:rsid w:val="00643CD4"/>
    <w:rsid w:val="007C71E2"/>
    <w:rsid w:val="007E3F0B"/>
    <w:rsid w:val="008D7F7F"/>
    <w:rsid w:val="00910950"/>
    <w:rsid w:val="00975ACF"/>
    <w:rsid w:val="00982C63"/>
    <w:rsid w:val="00A1237B"/>
    <w:rsid w:val="00A15D87"/>
    <w:rsid w:val="00AA5F16"/>
    <w:rsid w:val="00AE5177"/>
    <w:rsid w:val="00AF38C8"/>
    <w:rsid w:val="00B550B5"/>
    <w:rsid w:val="00BF7E40"/>
    <w:rsid w:val="00C64303"/>
    <w:rsid w:val="00DD6C87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4297"/>
  <w15:chartTrackingRefBased/>
  <w15:docId w15:val="{92A23545-5DDC-48D3-8F5A-C23BBC10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FBD"/>
  </w:style>
  <w:style w:type="paragraph" w:styleId="Heading1">
    <w:name w:val="heading 1"/>
    <w:basedOn w:val="Normal"/>
    <w:next w:val="Normal"/>
    <w:link w:val="Heading1Char"/>
    <w:uiPriority w:val="9"/>
    <w:qFormat/>
    <w:rsid w:val="001A2FB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AB052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FB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0C234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2FB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1E5288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F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B001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2F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2E9EB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2F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E2E9EB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2F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5021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E2E9EB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E2E9E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FBD"/>
    <w:rPr>
      <w:rFonts w:asciiTheme="majorHAnsi" w:eastAsiaTheme="majorEastAsia" w:hAnsiTheme="majorHAnsi" w:cstheme="majorBidi"/>
      <w:b/>
      <w:color w:val="AB052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FBD"/>
    <w:rPr>
      <w:rFonts w:asciiTheme="majorHAnsi" w:eastAsiaTheme="majorEastAsia" w:hAnsiTheme="majorHAnsi" w:cstheme="majorBidi"/>
      <w:b/>
      <w:color w:val="0C234B" w:themeColor="accen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2FBD"/>
    <w:rPr>
      <w:rFonts w:asciiTheme="majorHAnsi" w:eastAsiaTheme="majorEastAsia" w:hAnsiTheme="majorHAnsi" w:cstheme="majorBidi"/>
      <w:b/>
      <w:color w:val="1E5288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2FBD"/>
    <w:rPr>
      <w:rFonts w:asciiTheme="majorHAnsi" w:eastAsiaTheme="majorEastAsia" w:hAnsiTheme="majorHAnsi" w:cstheme="majorBidi"/>
      <w:color w:val="8B0015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2FBD"/>
    <w:rPr>
      <w:rFonts w:asciiTheme="majorHAnsi" w:eastAsiaTheme="majorEastAsia" w:hAnsiTheme="majorHAnsi" w:cstheme="majorBidi"/>
      <w:color w:val="E2E9EB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2FBD"/>
    <w:rPr>
      <w:rFonts w:asciiTheme="majorHAnsi" w:eastAsiaTheme="majorEastAsia" w:hAnsiTheme="majorHAnsi" w:cstheme="majorBidi"/>
      <w:i/>
      <w:iCs/>
      <w:color w:val="E2E9EB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2FBD"/>
    <w:rPr>
      <w:rFonts w:asciiTheme="majorHAnsi" w:eastAsiaTheme="majorEastAsia" w:hAnsiTheme="majorHAnsi" w:cstheme="majorBidi"/>
      <w:i/>
      <w:iCs/>
      <w:color w:val="55021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2FBD"/>
    <w:rPr>
      <w:rFonts w:asciiTheme="majorHAnsi" w:eastAsiaTheme="majorEastAsia" w:hAnsiTheme="majorHAnsi" w:cstheme="majorBidi"/>
      <w:b/>
      <w:bCs/>
      <w:color w:val="E2E9EB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2FBD"/>
    <w:rPr>
      <w:rFonts w:asciiTheme="majorHAnsi" w:eastAsiaTheme="majorEastAsia" w:hAnsiTheme="majorHAnsi" w:cstheme="majorBidi"/>
      <w:b/>
      <w:bCs/>
      <w:i/>
      <w:iCs/>
      <w:color w:val="E2E9EB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FB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A2F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B0520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FBD"/>
    <w:rPr>
      <w:rFonts w:asciiTheme="majorHAnsi" w:eastAsiaTheme="majorEastAsia" w:hAnsiTheme="majorHAnsi" w:cstheme="majorBidi"/>
      <w:color w:val="AB0520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FB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2FB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A2FBD"/>
    <w:rPr>
      <w:b/>
      <w:bCs/>
    </w:rPr>
  </w:style>
  <w:style w:type="character" w:styleId="Emphasis">
    <w:name w:val="Emphasis"/>
    <w:basedOn w:val="DefaultParagraphFont"/>
    <w:uiPriority w:val="20"/>
    <w:qFormat/>
    <w:rsid w:val="001A2FBD"/>
    <w:rPr>
      <w:i/>
      <w:iCs/>
    </w:rPr>
  </w:style>
  <w:style w:type="paragraph" w:styleId="NoSpacing">
    <w:name w:val="No Spacing"/>
    <w:uiPriority w:val="1"/>
    <w:qFormat/>
    <w:rsid w:val="001A2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F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2FB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2FB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FBD"/>
    <w:pPr>
      <w:pBdr>
        <w:left w:val="single" w:sz="18" w:space="12" w:color="AB0520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B052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FBD"/>
    <w:rPr>
      <w:rFonts w:asciiTheme="majorHAnsi" w:eastAsiaTheme="majorEastAsia" w:hAnsiTheme="majorHAnsi" w:cstheme="majorBidi"/>
      <w:color w:val="AB052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A2FB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A2FB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2FB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2FBD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A2FB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FB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C7C"/>
    <w:rPr>
      <w:color w:val="AB05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C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D87"/>
  </w:style>
  <w:style w:type="paragraph" w:styleId="Footer">
    <w:name w:val="footer"/>
    <w:basedOn w:val="Normal"/>
    <w:link w:val="FooterChar"/>
    <w:uiPriority w:val="99"/>
    <w:unhideWhenUsed/>
    <w:rsid w:val="00A1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arizona.edu/policy/audit-policy" TargetMode="External"/><Relationship Id="rId13" Type="http://schemas.openxmlformats.org/officeDocument/2006/relationships/hyperlink" Target="https://catalog.arizona.edu/policy/repeating-cours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atalog.arizona.edu/policy/class-attendance-participation-and-administrative-drop" TargetMode="External"/><Relationship Id="rId12" Type="http://schemas.openxmlformats.org/officeDocument/2006/relationships/hyperlink" Target="https://catalog.arizona.edu/policy/grade-replacement-opportunity-gr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arizona.edu/policy/double-use-courses-double-dippi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atalog.arizona.edu/policy/choice-catalo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atalog.arizona.edu/policy/undergraduate-academic-petitions" TargetMode="External"/><Relationship Id="rId14" Type="http://schemas.openxmlformats.org/officeDocument/2006/relationships/hyperlink" Target="https://catalog.arizona.edu/policy/undergraduate-change-schedule-dropad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A_Registrar">
  <a:themeElements>
    <a:clrScheme name="UA Colors">
      <a:dk1>
        <a:sysClr val="windowText" lastClr="000000"/>
      </a:dk1>
      <a:lt1>
        <a:sysClr val="window" lastClr="FFFFFF"/>
      </a:lt1>
      <a:dk2>
        <a:srgbClr val="E2E9EB"/>
      </a:dk2>
      <a:lt2>
        <a:srgbClr val="F4EDE5"/>
      </a:lt2>
      <a:accent1>
        <a:srgbClr val="AB0520"/>
      </a:accent1>
      <a:accent2>
        <a:srgbClr val="0C234B"/>
      </a:accent2>
      <a:accent3>
        <a:srgbClr val="EF4056"/>
      </a:accent3>
      <a:accent4>
        <a:srgbClr val="81D3EB"/>
      </a:accent4>
      <a:accent5>
        <a:srgbClr val="1E5288"/>
      </a:accent5>
      <a:accent6>
        <a:srgbClr val="70B865"/>
      </a:accent6>
      <a:hlink>
        <a:srgbClr val="AB0520"/>
      </a:hlink>
      <a:folHlink>
        <a:srgbClr val="AB0520"/>
      </a:folHlink>
    </a:clrScheme>
    <a:fontScheme name="Proxima Nova">
      <a:majorFont>
        <a:latin typeface="Proxima Nova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25400" cap="flat" cmpd="sng" algn="ctr">
          <a:solidFill>
            <a:srgbClr val="000000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2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Gill Sans" charset="0"/>
            <a:ea typeface="ヒラギノ角ゴ ProN W3" charset="0"/>
            <a:cs typeface="ヒラギノ角ゴ ProN W3" charset="0"/>
            <a:sym typeface="Gill Sans" charset="0"/>
          </a:defRPr>
        </a:defPPr>
      </a:lstStyle>
    </a:lnDef>
    <a:tx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 xmlns="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="" w="12700">
              <a:solidFill>
                <a:schemeClr val="tx1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000000">
                    <a:alpha val="74998"/>
                  </a:srgbClr>
                </a:outerShdw>
              </a:effectLst>
            </a14:hiddenEffects>
          </a:ext>
          <a:ext uri="{FAA26D3D-D897-4be2-8F04-BA451C77F1D7}">
            <ma14:placeholderFlag xmlns:ma14="http://schemas.microsoft.com/office/mac/drawingml/2011/main" xmlns="" val="1"/>
          </a:ext>
        </a:extLst>
      </a:spPr>
      <a:bodyPr vert="horz" wrap="square" lIns="38100" tIns="38100" rIns="38100" bIns="38100" numCol="1" anchor="ctr" anchorCtr="0" compatLnSpc="1">
        <a:prstTxWarp prst="textNoShape">
          <a:avLst/>
        </a:prstTxWarp>
      </a:bodyPr>
      <a:lstStyle>
        <a:defPPr>
          <a:defRPr sz="3400" b="0" i="0" dirty="0" smtClean="0">
            <a:latin typeface="Times New Roman"/>
          </a:defRPr>
        </a:defPPr>
      </a:lstStyle>
    </a:txDef>
  </a:objectDefaults>
  <a:extraClrSchemeLst>
    <a:extraClrScheme>
      <a:clrScheme name="Default - Title Slid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UA_Registrar" id="{EF3BBEEA-E215-4B0F-BBCB-26EF09EEE647}" vid="{528E58E2-7A8F-4C96-94FF-9A2168DAE52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Links>
    <vt:vector size="48" baseType="variant">
      <vt:variant>
        <vt:i4>851968</vt:i4>
      </vt:variant>
      <vt:variant>
        <vt:i4>21</vt:i4>
      </vt:variant>
      <vt:variant>
        <vt:i4>0</vt:i4>
      </vt:variant>
      <vt:variant>
        <vt:i4>5</vt:i4>
      </vt:variant>
      <vt:variant>
        <vt:lpwstr>https://catalog.arizona.edu/policy/undergraduate-change-schedule-dropadd</vt:lpwstr>
      </vt:variant>
      <vt:variant>
        <vt:lpwstr/>
      </vt:variant>
      <vt:variant>
        <vt:i4>2359344</vt:i4>
      </vt:variant>
      <vt:variant>
        <vt:i4>18</vt:i4>
      </vt:variant>
      <vt:variant>
        <vt:i4>0</vt:i4>
      </vt:variant>
      <vt:variant>
        <vt:i4>5</vt:i4>
      </vt:variant>
      <vt:variant>
        <vt:lpwstr>https://catalog.arizona.edu/policy/repeating-course</vt:lpwstr>
      </vt:variant>
      <vt:variant>
        <vt:lpwstr/>
      </vt:variant>
      <vt:variant>
        <vt:i4>5767243</vt:i4>
      </vt:variant>
      <vt:variant>
        <vt:i4>15</vt:i4>
      </vt:variant>
      <vt:variant>
        <vt:i4>0</vt:i4>
      </vt:variant>
      <vt:variant>
        <vt:i4>5</vt:i4>
      </vt:variant>
      <vt:variant>
        <vt:lpwstr>https://catalog.arizona.edu/policy/grade-replacement-opportunity-gro</vt:lpwstr>
      </vt:variant>
      <vt:variant>
        <vt:lpwstr/>
      </vt:variant>
      <vt:variant>
        <vt:i4>327763</vt:i4>
      </vt:variant>
      <vt:variant>
        <vt:i4>12</vt:i4>
      </vt:variant>
      <vt:variant>
        <vt:i4>0</vt:i4>
      </vt:variant>
      <vt:variant>
        <vt:i4>5</vt:i4>
      </vt:variant>
      <vt:variant>
        <vt:lpwstr>https://catalog.arizona.edu/policy/double-use-courses-double-dipping</vt:lpwstr>
      </vt:variant>
      <vt:variant>
        <vt:lpwstr/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https://catalog.arizona.edu/policy/choice-catalog</vt:lpwstr>
      </vt:variant>
      <vt:variant>
        <vt:lpwstr/>
      </vt:variant>
      <vt:variant>
        <vt:i4>7798829</vt:i4>
      </vt:variant>
      <vt:variant>
        <vt:i4>6</vt:i4>
      </vt:variant>
      <vt:variant>
        <vt:i4>0</vt:i4>
      </vt:variant>
      <vt:variant>
        <vt:i4>5</vt:i4>
      </vt:variant>
      <vt:variant>
        <vt:lpwstr>https://catalog.arizona.edu/policy/undergraduate-academic-petitions</vt:lpwstr>
      </vt:variant>
      <vt:variant>
        <vt:lpwstr/>
      </vt:variant>
      <vt:variant>
        <vt:i4>2228269</vt:i4>
      </vt:variant>
      <vt:variant>
        <vt:i4>3</vt:i4>
      </vt:variant>
      <vt:variant>
        <vt:i4>0</vt:i4>
      </vt:variant>
      <vt:variant>
        <vt:i4>5</vt:i4>
      </vt:variant>
      <vt:variant>
        <vt:lpwstr>https://catalog.arizona.edu/policy/audit-policy</vt:lpwstr>
      </vt:variant>
      <vt:variant>
        <vt:lpwstr/>
      </vt:variant>
      <vt:variant>
        <vt:i4>786441</vt:i4>
      </vt:variant>
      <vt:variant>
        <vt:i4>0</vt:i4>
      </vt:variant>
      <vt:variant>
        <vt:i4>0</vt:i4>
      </vt:variant>
      <vt:variant>
        <vt:i4>5</vt:i4>
      </vt:variant>
      <vt:variant>
        <vt:lpwstr>https://catalog.arizona.edu/policy/class-attendance-participation-and-administrative-drop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Alex - (aunderwood)</dc:creator>
  <cp:keywords/>
  <dc:description/>
  <cp:lastModifiedBy>Sorg, Abigail H - (asorg)</cp:lastModifiedBy>
  <cp:revision>2</cp:revision>
  <cp:lastPrinted>2021-08-23T19:50:00Z</cp:lastPrinted>
  <dcterms:created xsi:type="dcterms:W3CDTF">2021-08-24T22:24:00Z</dcterms:created>
  <dcterms:modified xsi:type="dcterms:W3CDTF">2021-08-24T22:24:00Z</dcterms:modified>
</cp:coreProperties>
</file>