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CA0" w:rsidRPr="005D1EF2" w:rsidRDefault="00FA1CA0" w:rsidP="00FA1CA0">
      <w:pPr>
        <w:pStyle w:val="NoSpacing"/>
        <w:rPr>
          <w:b/>
          <w:sz w:val="28"/>
          <w:u w:val="single"/>
        </w:rPr>
      </w:pPr>
      <w:bookmarkStart w:id="0" w:name="_GoBack"/>
      <w:bookmarkEnd w:id="0"/>
      <w:r w:rsidRPr="005D1EF2">
        <w:rPr>
          <w:b/>
          <w:sz w:val="28"/>
          <w:u w:val="single"/>
        </w:rPr>
        <w:t>Health and Recreation Fee Use</w:t>
      </w:r>
    </w:p>
    <w:p w:rsidR="00FA1CA0" w:rsidRDefault="00FA1CA0" w:rsidP="00FA1CA0">
      <w:pPr>
        <w:pStyle w:val="NoSpacing"/>
      </w:pPr>
    </w:p>
    <w:p w:rsidR="00FA1CA0" w:rsidRDefault="00FA1CA0" w:rsidP="00FA1CA0">
      <w:pPr>
        <w:pStyle w:val="NoSpacing"/>
      </w:pPr>
      <w:r>
        <w:t xml:space="preserve">The Health &amp; Recreation Fee (H&amp;R Fee) is dedicated to ensuring that medical, behavioral health, health </w:t>
      </w:r>
      <w:r w:rsidR="00AD2B04">
        <w:t>promo</w:t>
      </w:r>
      <w:r>
        <w:t>tion and emergency response services are available</w:t>
      </w:r>
      <w:r w:rsidR="00563A98">
        <w:t xml:space="preserve"> </w:t>
      </w:r>
      <w:r w:rsidR="00343D3E">
        <w:t xml:space="preserve">to all UA students </w:t>
      </w:r>
      <w:r w:rsidR="00563A98">
        <w:t xml:space="preserve">through the Campus Health Service </w:t>
      </w:r>
      <w:r>
        <w:t>at a discounted rate or no cost beyond the fee.  The Medical services include: Walk-In, General Medicine, Women’s Health, Sports Medicine, Laboratory, Physical Therapy, Immunization, and Pharmacy services.  The Behavioral Health services include: Walk-In, Counseling by either Licensed Professional Counselors, Master of Social Work or Psychologists, Medication management by Psychiatrists, and</w:t>
      </w:r>
      <w:r w:rsidR="00AD2B04">
        <w:t xml:space="preserve"> campus</w:t>
      </w:r>
      <w:r>
        <w:t xml:space="preserve"> outreach.</w:t>
      </w:r>
      <w:r w:rsidR="00AD2B04">
        <w:t xml:space="preserve">  Health Promotion services include: Nutritional Counseling, Health Education, Alcohol and Other Drug Counseling, Smoking Cessation Counseling, and an array of programs</w:t>
      </w:r>
      <w:r w:rsidR="00753A82">
        <w:t xml:space="preserve"> and outreach efforts</w:t>
      </w:r>
      <w:r w:rsidR="00AD2B04">
        <w:t xml:space="preserve"> to support socially responsible choices.</w:t>
      </w:r>
      <w:r w:rsidR="00B80EB5">
        <w:t xml:space="preserve">  The Emergency Response services include: Participation in Pandemic Planning, Emergency Preparedness Planning and UA Policy development.</w:t>
      </w:r>
    </w:p>
    <w:p w:rsidR="00AD2B04" w:rsidRDefault="00AD2B04" w:rsidP="00FA1CA0">
      <w:pPr>
        <w:pStyle w:val="NoSpacing"/>
      </w:pPr>
    </w:p>
    <w:p w:rsidR="00962F60" w:rsidRDefault="00962F60" w:rsidP="00FA1CA0">
      <w:pPr>
        <w:pStyle w:val="NoSpacing"/>
      </w:pPr>
      <w:r>
        <w:t xml:space="preserve">The Campus Health Service portion of the </w:t>
      </w:r>
      <w:r w:rsidR="00AD2B04">
        <w:t>H &amp; R Fee Revenue is projected at $5,459,500 for 201</w:t>
      </w:r>
      <w:r>
        <w:t>5-2016 which is based upon a $79.50 per UA student assessment for fall and spring semesters, as well as a prorated rate for off fall and spring sessions.</w:t>
      </w:r>
      <w:r w:rsidR="00B80EB5">
        <w:t xml:space="preserve">  CHS </w:t>
      </w:r>
      <w:r>
        <w:t>Expenses allocated to the H&amp;R Fee are considered “mission essential” as they help to assure the availability of key professional staff and portions of other expenses that serve to support the existence of the Campus Health Service.</w:t>
      </w:r>
    </w:p>
    <w:p w:rsidR="00962F60" w:rsidRDefault="00962F60" w:rsidP="00FA1CA0">
      <w:pPr>
        <w:pStyle w:val="NoSpacing"/>
      </w:pPr>
    </w:p>
    <w:p w:rsidR="00962F60" w:rsidRDefault="00962F60" w:rsidP="00FA1CA0">
      <w:pPr>
        <w:pStyle w:val="NoSpacing"/>
      </w:pPr>
      <w:r w:rsidRPr="00563A98">
        <w:rPr>
          <w:u w:val="single"/>
        </w:rPr>
        <w:t>Campus Health Service expenses allotted to the H&amp;R Fee include the following</w:t>
      </w:r>
      <w:r>
        <w:t>:</w:t>
      </w:r>
    </w:p>
    <w:p w:rsidR="00B1113E" w:rsidRDefault="00B1113E" w:rsidP="00FA1CA0">
      <w:pPr>
        <w:pStyle w:val="NoSpacing"/>
      </w:pPr>
    </w:p>
    <w:p w:rsidR="00B1113E" w:rsidRDefault="00B1113E" w:rsidP="00FA1CA0">
      <w:pPr>
        <w:pStyle w:val="NoSpacing"/>
      </w:pPr>
      <w:r>
        <w:rPr>
          <w:noProof/>
        </w:rPr>
        <w:drawing>
          <wp:inline distT="0" distB="0" distL="0" distR="0" wp14:anchorId="55753D56" wp14:editId="74E21AEA">
            <wp:extent cx="5684520" cy="4364966"/>
            <wp:effectExtent l="0" t="0" r="11430"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62F60" w:rsidRDefault="00962F60" w:rsidP="00FA1CA0">
      <w:pPr>
        <w:pStyle w:val="NoSpacing"/>
      </w:pPr>
    </w:p>
    <w:p w:rsidR="00CE0661" w:rsidRDefault="00CE0661" w:rsidP="00FA1CA0">
      <w:pPr>
        <w:pStyle w:val="NoSpacing"/>
      </w:pPr>
    </w:p>
    <w:p w:rsidR="00962F60" w:rsidRPr="005D1EF2" w:rsidRDefault="005D1EF2" w:rsidP="00FA1CA0">
      <w:pPr>
        <w:pStyle w:val="NoSpacing"/>
        <w:rPr>
          <w:b/>
          <w:u w:val="single"/>
        </w:rPr>
      </w:pPr>
      <w:r w:rsidRPr="005D1EF2">
        <w:rPr>
          <w:b/>
          <w:sz w:val="28"/>
          <w:u w:val="single"/>
        </w:rPr>
        <w:t>FY2016 Health and Recreation Fee Use Highlights</w:t>
      </w:r>
    </w:p>
    <w:p w:rsidR="005D1EF2" w:rsidRDefault="005D1EF2" w:rsidP="00FA1CA0">
      <w:pPr>
        <w:pStyle w:val="NoSpacing"/>
      </w:pPr>
    </w:p>
    <w:p w:rsidR="005D1EF2" w:rsidRDefault="005D1EF2" w:rsidP="00FA1CA0">
      <w:pPr>
        <w:pStyle w:val="NoSpacing"/>
      </w:pPr>
      <w:r w:rsidRPr="005D1EF2">
        <w:rPr>
          <w:u w:val="single"/>
        </w:rPr>
        <w:t>Expansion of Services</w:t>
      </w:r>
      <w:r>
        <w:t>:</w:t>
      </w:r>
    </w:p>
    <w:p w:rsidR="005D1EF2" w:rsidRDefault="005D1EF2" w:rsidP="005D1EF2">
      <w:pPr>
        <w:pStyle w:val="NoSpacing"/>
        <w:numPr>
          <w:ilvl w:val="0"/>
          <w:numId w:val="1"/>
        </w:numPr>
      </w:pPr>
      <w:r>
        <w:t>Addition of 1.0-FTE Medical Provider (FNP) in the CHS Walk-In Clinic to establish a 3</w:t>
      </w:r>
      <w:r w:rsidRPr="005D1EF2">
        <w:rPr>
          <w:vertAlign w:val="superscript"/>
        </w:rPr>
        <w:t>rd</w:t>
      </w:r>
      <w:r>
        <w:t xml:space="preserve"> regular Provider to accommodate the increased patient volume in that area</w:t>
      </w:r>
      <w:r w:rsidR="001C4580">
        <w:t xml:space="preserve"> (more UA students receiving services from the CHS)</w:t>
      </w:r>
      <w:r>
        <w:t>.</w:t>
      </w:r>
    </w:p>
    <w:p w:rsidR="005D1EF2" w:rsidRDefault="005D1EF2" w:rsidP="005D1EF2">
      <w:pPr>
        <w:pStyle w:val="NoSpacing"/>
        <w:numPr>
          <w:ilvl w:val="0"/>
          <w:numId w:val="1"/>
        </w:numPr>
      </w:pPr>
      <w:r>
        <w:t xml:space="preserve">Planned additional funding for salary (market) increases (second half of full year impact) for those positions funded under the H&amp;R Fee. </w:t>
      </w:r>
    </w:p>
    <w:p w:rsidR="005501A4" w:rsidRDefault="005501A4" w:rsidP="005D1EF2">
      <w:pPr>
        <w:pStyle w:val="NoSpacing"/>
        <w:numPr>
          <w:ilvl w:val="0"/>
          <w:numId w:val="1"/>
        </w:numPr>
      </w:pPr>
      <w:r>
        <w:t>Addition of 0.7-FTE Psychiatrist raising the total Psychiatry staffing to 3.2-FTE Psychiatrists in the Counseling and Psych Services (CAPS) unit.</w:t>
      </w:r>
    </w:p>
    <w:p w:rsidR="005D1EF2" w:rsidRDefault="005D1EF2" w:rsidP="005D1EF2">
      <w:pPr>
        <w:pStyle w:val="NoSpacing"/>
        <w:numPr>
          <w:ilvl w:val="0"/>
          <w:numId w:val="1"/>
        </w:numPr>
      </w:pPr>
      <w:r>
        <w:t>Additional funding for CAPS Psychiatrists (hard to recruit/retain positions)</w:t>
      </w:r>
    </w:p>
    <w:p w:rsidR="001C4580" w:rsidRDefault="001C4580" w:rsidP="005D1EF2">
      <w:pPr>
        <w:pStyle w:val="NoSpacing"/>
        <w:numPr>
          <w:ilvl w:val="0"/>
          <w:numId w:val="1"/>
        </w:numPr>
      </w:pPr>
      <w:r>
        <w:t xml:space="preserve">Clinical decision to provide </w:t>
      </w:r>
      <w:proofErr w:type="spellStart"/>
      <w:r>
        <w:t>Epipens</w:t>
      </w:r>
      <w:proofErr w:type="spellEnd"/>
      <w:r>
        <w:t xml:space="preserve"> at no cost for all patients who leave the CHS after experiencing an anaphylactic reaction or are at risk to do so.</w:t>
      </w:r>
    </w:p>
    <w:p w:rsidR="005D1EF2" w:rsidRDefault="001C4580" w:rsidP="00FA1CA0">
      <w:pPr>
        <w:pStyle w:val="NoSpacing"/>
        <w:numPr>
          <w:ilvl w:val="0"/>
          <w:numId w:val="1"/>
        </w:numPr>
      </w:pPr>
      <w:r>
        <w:t xml:space="preserve">Administrative decision to provide the UA Emergency Medical Service (UA student run EMS sponsored under the Banner University Medical Division – Tucson Campus, Emergency Department) with </w:t>
      </w:r>
      <w:proofErr w:type="spellStart"/>
      <w:r>
        <w:t>Epipens</w:t>
      </w:r>
      <w:proofErr w:type="spellEnd"/>
      <w:r>
        <w:t xml:space="preserve"> at no cost for their emergency response bags.</w:t>
      </w:r>
    </w:p>
    <w:p w:rsidR="005D1EF2" w:rsidRDefault="005D1EF2" w:rsidP="00FA1CA0">
      <w:pPr>
        <w:pStyle w:val="NoSpacing"/>
      </w:pPr>
      <w:r w:rsidRPr="00CE0661">
        <w:rPr>
          <w:u w:val="single"/>
        </w:rPr>
        <w:t>Staffing</w:t>
      </w:r>
      <w:r>
        <w:t>:</w:t>
      </w:r>
    </w:p>
    <w:p w:rsidR="00CE0661" w:rsidRDefault="00CE0661" w:rsidP="00CE0661">
      <w:pPr>
        <w:pStyle w:val="NoSpacing"/>
        <w:numPr>
          <w:ilvl w:val="0"/>
          <w:numId w:val="1"/>
        </w:numPr>
      </w:pPr>
      <w:r>
        <w:t>54% of the CHS regular staff salary and ERE expenses are funded by the H&amp;R Fee.</w:t>
      </w:r>
    </w:p>
    <w:p w:rsidR="00B80EB5" w:rsidRDefault="00B80EB5" w:rsidP="00CE0661">
      <w:pPr>
        <w:pStyle w:val="NoSpacing"/>
        <w:numPr>
          <w:ilvl w:val="0"/>
          <w:numId w:val="1"/>
        </w:numPr>
      </w:pPr>
      <w:r>
        <w:t>Note expansion of services via staff additions, above.</w:t>
      </w:r>
    </w:p>
    <w:p w:rsidR="00CE0661" w:rsidRDefault="00CE0661" w:rsidP="00CE0661">
      <w:pPr>
        <w:pStyle w:val="NoSpacing"/>
      </w:pPr>
      <w:r w:rsidRPr="00CE0661">
        <w:rPr>
          <w:u w:val="single"/>
        </w:rPr>
        <w:t>Facilities</w:t>
      </w:r>
      <w:r w:rsidR="00B26AB7">
        <w:rPr>
          <w:u w:val="single"/>
        </w:rPr>
        <w:t xml:space="preserve"> and Capital</w:t>
      </w:r>
      <w:r>
        <w:t>:</w:t>
      </w:r>
    </w:p>
    <w:p w:rsidR="00CE0661" w:rsidRDefault="00CE0661" w:rsidP="00CE0661">
      <w:pPr>
        <w:pStyle w:val="NoSpacing"/>
        <w:numPr>
          <w:ilvl w:val="0"/>
          <w:numId w:val="1"/>
        </w:numPr>
      </w:pPr>
      <w:r>
        <w:t xml:space="preserve">Custodial and Facilities Maintenance expenses have increased </w:t>
      </w:r>
      <w:r w:rsidR="00B26AB7">
        <w:t xml:space="preserve">about </w:t>
      </w:r>
      <w:r w:rsidR="00010474">
        <w:t xml:space="preserve">3% </w:t>
      </w:r>
      <w:r>
        <w:t>year-over-year due to labor and supply pricing increases.</w:t>
      </w:r>
    </w:p>
    <w:p w:rsidR="00CE0661" w:rsidRDefault="00CE0661" w:rsidP="00CE0661">
      <w:pPr>
        <w:pStyle w:val="NoSpacing"/>
        <w:numPr>
          <w:ilvl w:val="0"/>
          <w:numId w:val="1"/>
        </w:numPr>
      </w:pPr>
      <w:r>
        <w:t>Planned equipment upgrades (IT server enhancements</w:t>
      </w:r>
      <w:r w:rsidR="00B26AB7">
        <w:t xml:space="preserve"> to support the latest version of our Electronic Health Record system</w:t>
      </w:r>
      <w:r>
        <w:t>) are the primary expense associated with the Capital budget.</w:t>
      </w:r>
    </w:p>
    <w:p w:rsidR="005D1EF2" w:rsidRDefault="005501A4" w:rsidP="00FA1CA0">
      <w:pPr>
        <w:pStyle w:val="NoSpacing"/>
      </w:pPr>
      <w:r>
        <w:rPr>
          <w:u w:val="single"/>
        </w:rPr>
        <w:t xml:space="preserve">Health Profession </w:t>
      </w:r>
      <w:r w:rsidR="005D1EF2" w:rsidRPr="001C4580">
        <w:rPr>
          <w:u w:val="single"/>
        </w:rPr>
        <w:t>Education</w:t>
      </w:r>
      <w:r w:rsidR="001C4580" w:rsidRPr="001C4580">
        <w:rPr>
          <w:u w:val="single"/>
        </w:rPr>
        <w:t xml:space="preserve"> </w:t>
      </w:r>
      <w:r>
        <w:rPr>
          <w:u w:val="single"/>
        </w:rPr>
        <w:t>Support</w:t>
      </w:r>
      <w:r w:rsidR="005D1EF2">
        <w:t>:</w:t>
      </w:r>
    </w:p>
    <w:p w:rsidR="001C4580" w:rsidRDefault="001C4580" w:rsidP="001C4580">
      <w:pPr>
        <w:pStyle w:val="NoSpacing"/>
        <w:numPr>
          <w:ilvl w:val="0"/>
          <w:numId w:val="1"/>
        </w:numPr>
      </w:pPr>
      <w:r>
        <w:t>Provide clinical training for UA College of Medicine students</w:t>
      </w:r>
    </w:p>
    <w:p w:rsidR="001C4580" w:rsidRDefault="001C4580" w:rsidP="001C4580">
      <w:pPr>
        <w:pStyle w:val="NoSpacing"/>
        <w:numPr>
          <w:ilvl w:val="0"/>
          <w:numId w:val="1"/>
        </w:numPr>
      </w:pPr>
      <w:r>
        <w:t>Provide clinical training for UA College of Nursing students (RN and NP)</w:t>
      </w:r>
    </w:p>
    <w:p w:rsidR="001C4580" w:rsidRDefault="001C4580" w:rsidP="001C4580">
      <w:pPr>
        <w:pStyle w:val="NoSpacing"/>
        <w:numPr>
          <w:ilvl w:val="0"/>
          <w:numId w:val="1"/>
        </w:numPr>
      </w:pPr>
      <w:r>
        <w:t>Provide clinical training for UA College of Pharmacy students</w:t>
      </w:r>
    </w:p>
    <w:p w:rsidR="001C4580" w:rsidRDefault="001C4580" w:rsidP="001C4580">
      <w:pPr>
        <w:pStyle w:val="NoSpacing"/>
        <w:numPr>
          <w:ilvl w:val="0"/>
          <w:numId w:val="1"/>
        </w:numPr>
      </w:pPr>
      <w:r>
        <w:t xml:space="preserve">Provide training for UA College of Public Health </w:t>
      </w:r>
      <w:r w:rsidR="00442A5F">
        <w:t xml:space="preserve">(Health Education) </w:t>
      </w:r>
      <w:r>
        <w:t>students</w:t>
      </w:r>
    </w:p>
    <w:p w:rsidR="001C4580" w:rsidRDefault="001C4580" w:rsidP="001C4580">
      <w:pPr>
        <w:pStyle w:val="NoSpacing"/>
        <w:numPr>
          <w:ilvl w:val="0"/>
          <w:numId w:val="1"/>
        </w:numPr>
      </w:pPr>
      <w:r>
        <w:t xml:space="preserve">Provide </w:t>
      </w:r>
      <w:r w:rsidR="00BC4AF3">
        <w:t xml:space="preserve">clinical </w:t>
      </w:r>
      <w:r>
        <w:t xml:space="preserve">training for UA College of </w:t>
      </w:r>
      <w:r w:rsidR="00370422">
        <w:t>Agriculture and Life</w:t>
      </w:r>
      <w:r>
        <w:t xml:space="preserve"> Sciences (Nutrition) students</w:t>
      </w:r>
    </w:p>
    <w:p w:rsidR="00B80EB5" w:rsidRPr="00B80EB5" w:rsidRDefault="00B80EB5" w:rsidP="00B80EB5">
      <w:pPr>
        <w:pStyle w:val="NoSpacing"/>
        <w:rPr>
          <w:u w:val="single"/>
        </w:rPr>
      </w:pPr>
      <w:r w:rsidRPr="00B80EB5">
        <w:rPr>
          <w:u w:val="single"/>
        </w:rPr>
        <w:t>UA RCM Model</w:t>
      </w:r>
      <w:r w:rsidRPr="00B80EB5">
        <w:t>:</w:t>
      </w:r>
    </w:p>
    <w:p w:rsidR="00B80EB5" w:rsidRDefault="00B80EB5" w:rsidP="00B80EB5">
      <w:pPr>
        <w:pStyle w:val="NoSpacing"/>
        <w:numPr>
          <w:ilvl w:val="0"/>
          <w:numId w:val="1"/>
        </w:numPr>
      </w:pPr>
      <w:r>
        <w:t>New UA “tax” rate via the addition of a 1% Administrative Services Fee on Expenses</w:t>
      </w:r>
    </w:p>
    <w:p w:rsidR="0015092A" w:rsidRDefault="0015092A" w:rsidP="0015092A">
      <w:pPr>
        <w:pStyle w:val="NoSpacing"/>
      </w:pPr>
    </w:p>
    <w:p w:rsidR="0015092A" w:rsidRDefault="0015092A" w:rsidP="0015092A">
      <w:pPr>
        <w:pStyle w:val="NoSpacing"/>
      </w:pPr>
    </w:p>
    <w:p w:rsidR="0015092A" w:rsidRDefault="0015092A" w:rsidP="0015092A">
      <w:pPr>
        <w:pStyle w:val="NoSpacing"/>
      </w:pPr>
    </w:p>
    <w:sectPr w:rsidR="00150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91F40"/>
    <w:multiLevelType w:val="hybridMultilevel"/>
    <w:tmpl w:val="AE42C464"/>
    <w:lvl w:ilvl="0" w:tplc="EF0A11A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A0"/>
    <w:rsid w:val="00010474"/>
    <w:rsid w:val="0015092A"/>
    <w:rsid w:val="001C4580"/>
    <w:rsid w:val="002A0422"/>
    <w:rsid w:val="002A7F72"/>
    <w:rsid w:val="002F2312"/>
    <w:rsid w:val="00343D3E"/>
    <w:rsid w:val="00370422"/>
    <w:rsid w:val="00442A5F"/>
    <w:rsid w:val="005501A4"/>
    <w:rsid w:val="00563A98"/>
    <w:rsid w:val="005D1EF2"/>
    <w:rsid w:val="00753A82"/>
    <w:rsid w:val="0086540C"/>
    <w:rsid w:val="00962F60"/>
    <w:rsid w:val="00AD2B04"/>
    <w:rsid w:val="00B1113E"/>
    <w:rsid w:val="00B26AB7"/>
    <w:rsid w:val="00B80EB5"/>
    <w:rsid w:val="00BC4AF3"/>
    <w:rsid w:val="00CE0661"/>
    <w:rsid w:val="00FA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B54DC-54A4-4202-B6F0-6DC67F2C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1C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hs-fileserver2\Restricted\jody\excel\HR%20Fee%202015-16.sm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800"/>
            </a:pPr>
            <a:r>
              <a:rPr lang="en-US" sz="1800"/>
              <a:t>H&amp;R Fee Expense Breakdown 2015</a:t>
            </a:r>
            <a:r>
              <a:rPr lang="en-US" sz="1800" baseline="0"/>
              <a:t> - 2016    $5,066,900 + $490,600 + $50,000 + $55,600 = $5,663,100</a:t>
            </a:r>
            <a:endParaRPr lang="en-US" sz="1800"/>
          </a:p>
        </c:rich>
      </c:tx>
      <c:layout/>
      <c:overlay val="0"/>
    </c:title>
    <c:autoTitleDeleted val="0"/>
    <c:plotArea>
      <c:layout>
        <c:manualLayout>
          <c:layoutTarget val="inner"/>
          <c:xMode val="edge"/>
          <c:yMode val="edge"/>
          <c:x val="7.7898604595215012E-2"/>
          <c:y val="0.33401754201230049"/>
          <c:w val="0.83407447420510039"/>
          <c:h val="0.58195005713438863"/>
        </c:manualLayout>
      </c:layout>
      <c:pieChart>
        <c:varyColors val="0"/>
        <c:ser>
          <c:idx val="1"/>
          <c:order val="1"/>
          <c:spPr>
            <a:solidFill>
              <a:schemeClr val="accent1"/>
            </a:solidFill>
            <a:ln>
              <a:solidFill>
                <a:schemeClr val="bg1"/>
              </a:solidFill>
            </a:ln>
          </c:spPr>
          <c:dPt>
            <c:idx val="2"/>
            <c:bubble3D val="0"/>
          </c:dPt>
          <c:dPt>
            <c:idx val="4"/>
            <c:bubble3D val="0"/>
            <c:spPr>
              <a:solidFill>
                <a:schemeClr val="accent2"/>
              </a:solidFill>
              <a:ln>
                <a:solidFill>
                  <a:schemeClr val="bg1"/>
                </a:solidFill>
              </a:ln>
            </c:spPr>
          </c:dPt>
          <c:dPt>
            <c:idx val="5"/>
            <c:bubble3D val="0"/>
            <c:spPr>
              <a:solidFill>
                <a:srgbClr val="990033"/>
              </a:solidFill>
              <a:ln>
                <a:solidFill>
                  <a:schemeClr val="bg1"/>
                </a:solidFill>
              </a:ln>
            </c:spPr>
          </c:dPt>
          <c:dPt>
            <c:idx val="6"/>
            <c:bubble3D val="0"/>
            <c:spPr>
              <a:solidFill>
                <a:schemeClr val="accent6"/>
              </a:solidFill>
              <a:ln>
                <a:solidFill>
                  <a:schemeClr val="bg1"/>
                </a:solidFill>
              </a:ln>
            </c:spPr>
          </c:dPt>
          <c:dPt>
            <c:idx val="7"/>
            <c:bubble3D val="0"/>
            <c:spPr>
              <a:solidFill>
                <a:schemeClr val="accent4">
                  <a:lumMod val="60000"/>
                  <a:lumOff val="40000"/>
                </a:schemeClr>
              </a:solidFill>
              <a:ln>
                <a:solidFill>
                  <a:schemeClr val="bg1"/>
                </a:solidFill>
              </a:ln>
            </c:spPr>
          </c:dPt>
          <c:dLbls>
            <c:dLbl>
              <c:idx val="0"/>
              <c:layout>
                <c:manualLayout>
                  <c:x val="-0.22300435960559203"/>
                  <c:y val="0.12141919513498865"/>
                </c:manualLayout>
              </c:layout>
              <c:tx>
                <c:rich>
                  <a:bodyPr wrap="square" lIns="38100" tIns="19050" rIns="38100" bIns="19050" anchor="ctr">
                    <a:noAutofit/>
                  </a:bodyPr>
                  <a:lstStyle/>
                  <a:p>
                    <a:pPr>
                      <a:defRPr b="1"/>
                    </a:pPr>
                    <a:fld id="{20A0F75A-D36B-4361-BE2F-FEAD013F3AB8}" type="CATEGORYNAME">
                      <a:rPr lang="en-US"/>
                      <a:pPr>
                        <a:defRPr b="1"/>
                      </a:pPr>
                      <a:t>[CATEGORY NAME]</a:t>
                    </a:fld>
                    <a:r>
                      <a:rPr lang="en-US" baseline="0"/>
                      <a:t>, </a:t>
                    </a:r>
                    <a:fld id="{76C8FC23-144F-4A7C-9CDB-A4002A0C376E}" type="VALUE">
                      <a:rPr lang="en-US" baseline="0"/>
                      <a:pPr>
                        <a:defRPr b="1"/>
                      </a:pPr>
                      <a:t>[VALUE]</a:t>
                    </a:fld>
                    <a:r>
                      <a:rPr lang="en-US" baseline="0"/>
                      <a:t>,</a:t>
                    </a:r>
                  </a:p>
                  <a:p>
                    <a:pPr>
                      <a:defRPr b="1"/>
                    </a:pPr>
                    <a:r>
                      <a:rPr lang="en-US" baseline="0"/>
                      <a:t> </a:t>
                    </a:r>
                    <a:fld id="{7F712CB1-465B-44A3-8169-FD76ACD4A6E8}" type="PERCENTAGE">
                      <a:rPr lang="en-US" baseline="0"/>
                      <a:pPr>
                        <a:defRPr b="1"/>
                      </a:pPr>
                      <a:t>[PERCENTAGE]</a:t>
                    </a:fld>
                    <a:endParaRPr lang="en-US" baseline="0"/>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manualLayout>
                      <c:w val="0.26492615031700129"/>
                      <c:h val="0.13148059678921628"/>
                    </c:manualLayout>
                  </c15:layout>
                  <c15:dlblFieldTable/>
                  <c15:showDataLabelsRange val="0"/>
                </c:ext>
              </c:extLst>
            </c:dLbl>
            <c:dLbl>
              <c:idx val="1"/>
              <c:layout>
                <c:manualLayout>
                  <c:x val="-4.5589446327436674E-2"/>
                  <c:y val="-0.14873511521360533"/>
                </c:manualLayout>
              </c:layout>
              <c:tx>
                <c:rich>
                  <a:bodyPr wrap="square" lIns="38100" tIns="19050" rIns="38100" bIns="19050" anchor="ctr">
                    <a:noAutofit/>
                  </a:bodyPr>
                  <a:lstStyle/>
                  <a:p>
                    <a:pPr>
                      <a:defRPr b="1"/>
                    </a:pPr>
                    <a:fld id="{F2E1C934-2539-4984-8A01-71BDC2E85A29}" type="CATEGORYNAME">
                      <a:rPr lang="en-US"/>
                      <a:pPr>
                        <a:defRPr b="1"/>
                      </a:pPr>
                      <a:t>[CATEGORY NAME]</a:t>
                    </a:fld>
                    <a:r>
                      <a:rPr lang="en-US" baseline="0"/>
                      <a:t>, </a:t>
                    </a:r>
                    <a:fld id="{83A01FBA-3F05-42CC-999E-765B853BEDA5}" type="VALUE">
                      <a:rPr lang="en-US" baseline="0"/>
                      <a:pPr>
                        <a:defRPr b="1"/>
                      </a:pPr>
                      <a:t>[VALUE]</a:t>
                    </a:fld>
                    <a:r>
                      <a:rPr lang="en-US" baseline="0"/>
                      <a:t>,</a:t>
                    </a:r>
                  </a:p>
                  <a:p>
                    <a:pPr>
                      <a:defRPr b="1"/>
                    </a:pPr>
                    <a:r>
                      <a:rPr lang="en-US" baseline="0"/>
                      <a:t> </a:t>
                    </a:r>
                    <a:fld id="{1D6BB81C-DA3A-4C91-A42D-571209BAB1FF}" type="PERCENTAGE">
                      <a:rPr lang="en-US" baseline="0"/>
                      <a:pPr>
                        <a:defRPr b="1"/>
                      </a:pPr>
                      <a:t>[PERCENTAGE]</a:t>
                    </a:fld>
                    <a:endParaRPr lang="en-US" baseline="0"/>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manualLayout>
                      <c:w val="0.25065704756074386"/>
                      <c:h val="0.12112099038689565"/>
                    </c:manualLayout>
                  </c15:layout>
                  <c15:dlblFieldTable/>
                  <c15:showDataLabelsRange val="0"/>
                </c:ext>
              </c:extLst>
            </c:dLbl>
            <c:dLbl>
              <c:idx val="2"/>
              <c:layout>
                <c:manualLayout>
                  <c:x val="0.19665250193913017"/>
                  <c:y val="-2.2351437838120429E-2"/>
                </c:manualLayout>
              </c:layout>
              <c:tx>
                <c:rich>
                  <a:bodyPr wrap="square" lIns="38100" tIns="19050" rIns="38100" bIns="19050" anchor="ctr">
                    <a:noAutofit/>
                  </a:bodyPr>
                  <a:lstStyle/>
                  <a:p>
                    <a:pPr>
                      <a:defRPr b="1"/>
                    </a:pPr>
                    <a:fld id="{DBC338BC-2BEB-4036-875B-8A4B3EEE5BC8}" type="CATEGORYNAME">
                      <a:rPr lang="en-US"/>
                      <a:pPr>
                        <a:defRPr b="1"/>
                      </a:pPr>
                      <a:t>[CATEGORY NAME]</a:t>
                    </a:fld>
                    <a:r>
                      <a:rPr lang="en-US" baseline="0"/>
                      <a:t>, </a:t>
                    </a:r>
                    <a:fld id="{DE368549-D731-4D5E-B03C-1F1FCDAAF0FB}" type="VALUE">
                      <a:rPr lang="en-US" baseline="0"/>
                      <a:pPr>
                        <a:defRPr b="1"/>
                      </a:pPr>
                      <a:t>[VALUE]</a:t>
                    </a:fld>
                    <a:r>
                      <a:rPr lang="en-US" baseline="0"/>
                      <a:t>, </a:t>
                    </a:r>
                  </a:p>
                  <a:p>
                    <a:pPr>
                      <a:defRPr b="1"/>
                    </a:pPr>
                    <a:fld id="{3C7980F8-6E28-43E2-BB0B-4789BBEACD72}" type="PERCENTAGE">
                      <a:rPr lang="en-US" baseline="0"/>
                      <a:pPr>
                        <a:defRPr b="1"/>
                      </a:pPr>
                      <a:t>[PERCENTAGE]</a:t>
                    </a:fld>
                    <a:endParaRPr lang="en-US"/>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manualLayout>
                      <c:w val="0.25797340848479727"/>
                      <c:h val="0.11967931114677884"/>
                    </c:manualLayout>
                  </c15:layout>
                  <c15:dlblFieldTable/>
                  <c15:showDataLabelsRange val="0"/>
                </c:ext>
              </c:extLst>
            </c:dLbl>
            <c:dLbl>
              <c:idx val="3"/>
              <c:layout>
                <c:manualLayout>
                  <c:x val="-2.2395183887755465E-2"/>
                  <c:y val="6.4931704743028909E-2"/>
                </c:manualLayout>
              </c:layout>
              <c:tx>
                <c:rich>
                  <a:bodyPr wrap="square" lIns="38100" tIns="19050" rIns="38100" bIns="19050" anchor="ctr">
                    <a:noAutofit/>
                  </a:bodyPr>
                  <a:lstStyle/>
                  <a:p>
                    <a:pPr>
                      <a:defRPr b="1"/>
                    </a:pPr>
                    <a:fld id="{BF6D1F1A-F75A-4181-BC55-6C9B41C0986B}" type="CATEGORYNAME">
                      <a:rPr lang="en-US"/>
                      <a:pPr>
                        <a:defRPr b="1"/>
                      </a:pPr>
                      <a:t>[CATEGORY NAME]</a:t>
                    </a:fld>
                    <a:r>
                      <a:rPr lang="en-US" baseline="0"/>
                      <a:t>, </a:t>
                    </a:r>
                    <a:fld id="{E8647D38-63A8-49E6-8574-6629F075F9FB}" type="VALUE">
                      <a:rPr lang="en-US" baseline="0"/>
                      <a:pPr>
                        <a:defRPr b="1"/>
                      </a:pPr>
                      <a:t>[VALUE]</a:t>
                    </a:fld>
                    <a:r>
                      <a:rPr lang="en-US" baseline="0"/>
                      <a:t>, </a:t>
                    </a:r>
                  </a:p>
                  <a:p>
                    <a:pPr>
                      <a:defRPr b="1"/>
                    </a:pPr>
                    <a:fld id="{40483121-A095-49DC-95E7-65FE8380F41F}" type="PERCENTAGE">
                      <a:rPr lang="en-US" baseline="0"/>
                      <a:pPr>
                        <a:defRPr b="1"/>
                      </a:pPr>
                      <a:t>[PERCENTAGE]</a:t>
                    </a:fld>
                    <a:endParaRPr lang="en-US"/>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manualLayout>
                      <c:w val="0.2189928085396832"/>
                      <c:h val="0.14615813791499546"/>
                    </c:manualLayout>
                  </c15:layout>
                  <c15:dlblFieldTable/>
                  <c15:showDataLabelsRange val="0"/>
                </c:ext>
              </c:extLst>
            </c:dLbl>
            <c:dLbl>
              <c:idx val="4"/>
              <c:layout>
                <c:manualLayout>
                  <c:x val="-9.6560369712822045E-2"/>
                  <c:y val="-9.2541176525256564E-4"/>
                </c:manualLayout>
              </c:layout>
              <c:tx>
                <c:rich>
                  <a:bodyPr/>
                  <a:lstStyle/>
                  <a:p>
                    <a:r>
                      <a:rPr lang="en-US"/>
                      <a:t>Operations</a:t>
                    </a:r>
                    <a:r>
                      <a:rPr lang="en-US" baseline="0"/>
                      <a:t>,</a:t>
                    </a:r>
                  </a:p>
                  <a:p>
                    <a:r>
                      <a:rPr lang="en-US" baseline="0"/>
                      <a:t> </a:t>
                    </a:r>
                    <a:fld id="{8619CD50-9A6D-4CA8-B65F-6F655C7097D8}" type="VALUE">
                      <a:rPr lang="en-US" baseline="0"/>
                      <a:pPr/>
                      <a:t>[VALUE]</a:t>
                    </a:fld>
                    <a:r>
                      <a:rPr lang="en-US" baseline="0"/>
                      <a:t>, </a:t>
                    </a:r>
                  </a:p>
                  <a:p>
                    <a:fld id="{25E5D492-5473-4BD4-8271-4477F6161DEF}" type="PERCENTAGE">
                      <a:rPr lang="en-US"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layout/>
                  <c15:dlblFieldTable/>
                  <c15:showDataLabelsRange val="0"/>
                </c:ext>
              </c:extLst>
            </c:dLbl>
            <c:dLbl>
              <c:idx val="5"/>
              <c:layout>
                <c:manualLayout>
                  <c:x val="-4.062761387337549E-2"/>
                  <c:y val="2.9724115917651825E-2"/>
                </c:manualLayout>
              </c:layout>
              <c:tx>
                <c:rich>
                  <a:bodyPr wrap="square" lIns="38100" tIns="19050" rIns="38100" bIns="19050" anchor="ctr">
                    <a:noAutofit/>
                  </a:bodyPr>
                  <a:lstStyle/>
                  <a:p>
                    <a:pPr>
                      <a:defRPr b="1"/>
                    </a:pPr>
                    <a:r>
                      <a:rPr lang="en-US"/>
                      <a:t>Capital</a:t>
                    </a:r>
                    <a:r>
                      <a:rPr lang="en-US" baseline="0"/>
                      <a:t>, </a:t>
                    </a:r>
                    <a:fld id="{D09576F0-A665-41C5-8AAF-13A781B4205F}" type="VALUE">
                      <a:rPr lang="en-US" baseline="0"/>
                      <a:pPr>
                        <a:defRPr b="1"/>
                      </a:pPr>
                      <a:t>[VALUE]</a:t>
                    </a:fld>
                    <a:r>
                      <a:rPr lang="en-US" baseline="0"/>
                      <a:t>, </a:t>
                    </a:r>
                    <a:fld id="{040AAD03-5294-4E01-9FC0-D95A6894C3D7}" type="PERCENTAGE">
                      <a:rPr lang="en-US" baseline="0"/>
                      <a:pPr>
                        <a:defRPr b="1"/>
                      </a:pPr>
                      <a:t>[PERCENTAGE]</a:t>
                    </a:fld>
                    <a:endParaRPr lang="en-US" baseline="0"/>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manualLayout>
                      <c:w val="0.12249424753541197"/>
                      <c:h val="0.12617580375565232"/>
                    </c:manualLayout>
                  </c15:layout>
                  <c15:dlblFieldTable/>
                  <c15:showDataLabelsRange val="0"/>
                </c:ext>
              </c:extLst>
            </c:dLbl>
            <c:dLbl>
              <c:idx val="6"/>
              <c:layout>
                <c:manualLayout>
                  <c:x val="0.1659234200952763"/>
                  <c:y val="1.770525083317008E-2"/>
                </c:manualLayout>
              </c:layout>
              <c:tx>
                <c:rich>
                  <a:bodyPr/>
                  <a:lstStyle/>
                  <a:p>
                    <a:fld id="{F9534725-D907-478A-8DB1-62A83271CB30}" type="CATEGORYNAME">
                      <a:rPr lang="en-US"/>
                      <a:pPr/>
                      <a:t>[CATEGORY NAME]</a:t>
                    </a:fld>
                    <a:r>
                      <a:rPr lang="en-US" baseline="0"/>
                      <a:t>, </a:t>
                    </a:r>
                  </a:p>
                  <a:p>
                    <a:fld id="{A0408BAE-3619-4718-8820-282980AA0E22}" type="VALUE">
                      <a:rPr lang="en-US" baseline="0"/>
                      <a:pPr/>
                      <a:t>[VALUE]</a:t>
                    </a:fld>
                    <a:r>
                      <a:rPr lang="en-US" baseline="0"/>
                      <a:t>,</a:t>
                    </a:r>
                  </a:p>
                  <a:p>
                    <a:r>
                      <a:rPr lang="en-US" baseline="0"/>
                      <a:t> </a:t>
                    </a:r>
                    <a:fld id="{FE470D69-BCC3-4D32-AA4A-1CA367931F81}" type="PERCENTAGE">
                      <a:rPr lang="en-US" baseline="0"/>
                      <a:pPr/>
                      <a:t>[PERCENTAGE]</a:t>
                    </a:fld>
                    <a:endParaRPr lang="en-US" baseline="0"/>
                  </a:p>
                </c:rich>
              </c:tx>
              <c:showLegendKey val="0"/>
              <c:showVal val="1"/>
              <c:showCatName val="1"/>
              <c:showSerName val="0"/>
              <c:showPercent val="1"/>
              <c:showBubbleSize val="0"/>
              <c:extLst>
                <c:ext xmlns:c15="http://schemas.microsoft.com/office/drawing/2012/chart" uri="{CE6537A1-D6FC-4f65-9D91-7224C49458BB}">
                  <c15:layout/>
                  <c15:dlblFieldTable/>
                  <c15:showDataLabelsRange val="0"/>
                </c:ext>
              </c:extLst>
            </c:dLbl>
            <c:dLbl>
              <c:idx val="7"/>
              <c:tx>
                <c:rich>
                  <a:bodyPr/>
                  <a:lstStyle/>
                  <a:p>
                    <a:fld id="{20A6D2F7-F3B1-49C4-A4A6-E09C3D302E02}" type="CATEGORYNAME">
                      <a:rPr lang="en-US"/>
                      <a:pPr/>
                      <a:t>[CATEGORY NAME]</a:t>
                    </a:fld>
                    <a:r>
                      <a:rPr lang="en-US" baseline="0"/>
                      <a:t>, </a:t>
                    </a:r>
                    <a:fld id="{AB4CD167-90D3-47DE-838C-5D3BFA15ED23}" type="VALUE">
                      <a:rPr lang="en-US" baseline="0"/>
                      <a:pPr/>
                      <a:t>[VALUE]</a:t>
                    </a:fld>
                    <a:r>
                      <a:rPr lang="en-US" baseline="0"/>
                      <a:t>, </a:t>
                    </a:r>
                  </a:p>
                  <a:p>
                    <a:fld id="{59408539-B298-4230-BDAA-FA874D599C08}" type="PERCENTAGE">
                      <a:rPr lang="en-US"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wrap="square" lIns="38100" tIns="19050" rIns="38100" bIns="19050" anchor="ctr">
                <a:spAutoFit/>
              </a:bodyPr>
              <a:lstStyle/>
              <a:p>
                <a:pPr>
                  <a:defRPr b="1"/>
                </a:pPr>
                <a:endParaRPr lang="en-US"/>
              </a:p>
            </c:txPr>
            <c:showLegendKey val="0"/>
            <c:showVal val="1"/>
            <c:showCatName val="1"/>
            <c:showSerName val="0"/>
            <c:showPercent val="1"/>
            <c:showBubbleSize val="0"/>
            <c:showLeaderLines val="1"/>
            <c:extLst>
              <c:ext xmlns:c15="http://schemas.microsoft.com/office/drawing/2012/chart" uri="{CE6537A1-D6FC-4f65-9D91-7224C49458BB}"/>
            </c:extLst>
          </c:dLbls>
          <c:cat>
            <c:strRef>
              <c:f>'H&amp;R Exp Detail15.16 (2)'!$A$45:$B$51</c:f>
              <c:strCache>
                <c:ptCount val="7"/>
                <c:pt idx="0">
                  <c:v>     Medical Salary &amp; ERE</c:v>
                </c:pt>
                <c:pt idx="1">
                  <c:v>     CAPS Salary &amp; ERE</c:v>
                </c:pt>
                <c:pt idx="2">
                  <c:v>     Admin Salary &amp; ERE</c:v>
                </c:pt>
                <c:pt idx="3">
                  <c:v>     HPPS Salary &amp; ERE</c:v>
                </c:pt>
                <c:pt idx="4">
                  <c:v>     Operations                  </c:v>
                </c:pt>
                <c:pt idx="5">
                  <c:v>     Capital                            </c:v>
                </c:pt>
                <c:pt idx="6">
                  <c:v>     UA ASC Tax</c:v>
                </c:pt>
              </c:strCache>
            </c:strRef>
          </c:cat>
          <c:val>
            <c:numRef>
              <c:f>'H&amp;R Exp Detail15.16 (2)'!$C$45:$C$51</c:f>
              <c:numCache>
                <c:formatCode>"$"#,##0_);[Red]\("$"#,##0\)</c:formatCode>
                <c:ptCount val="7"/>
                <c:pt idx="0">
                  <c:v>2037500</c:v>
                </c:pt>
                <c:pt idx="1">
                  <c:v>1454500</c:v>
                </c:pt>
                <c:pt idx="2">
                  <c:v>1207950</c:v>
                </c:pt>
                <c:pt idx="3">
                  <c:v>366950</c:v>
                </c:pt>
                <c:pt idx="4">
                  <c:v>490600</c:v>
                </c:pt>
                <c:pt idx="5">
                  <c:v>50000</c:v>
                </c:pt>
                <c:pt idx="6">
                  <c:v>55600</c:v>
                </c:pt>
              </c:numCache>
            </c:numRef>
          </c:val>
        </c:ser>
        <c:dLbls>
          <c:showLegendKey val="0"/>
          <c:showVal val="0"/>
          <c:showCatName val="0"/>
          <c:showSerName val="0"/>
          <c:showPercent val="0"/>
          <c:showBubbleSize val="0"/>
          <c:showLeaderLines val="1"/>
        </c:dLbls>
        <c:firstSliceAng val="0"/>
        <c:extLst>
          <c:ext xmlns:c15="http://schemas.microsoft.com/office/drawing/2012/chart" uri="{02D57815-91ED-43cb-92C2-25804820EDAC}">
            <c15:filteredPieSeries>
              <c15:ser>
                <c:idx val="0"/>
                <c:order val="0"/>
                <c:tx>
                  <c:strRef>
                    <c:extLst>
                      <c:ext uri="{02D57815-91ED-43cb-92C2-25804820EDAC}">
                        <c15:formulaRef>
                          <c15:sqref>'H&amp;R Exp Detail15.16 (2)'!$A$36</c15:sqref>
                        </c15:formulaRef>
                      </c:ext>
                    </c:extLst>
                    <c:strCache>
                      <c:ptCount val="1"/>
                      <c:pt idx="0">
                        <c:v>Health &amp; Recreation Fee Breakdown</c:v>
                      </c:pt>
                    </c:strCache>
                  </c:strRef>
                </c:tx>
                <c:cat>
                  <c:strRef>
                    <c:extLst>
                      <c:ext uri="{02D57815-91ED-43cb-92C2-25804820EDAC}">
                        <c15:formulaRef>
                          <c15:sqref>'H&amp;R Exp Detail15.16 (2)'!$A$45:$B$51</c15:sqref>
                        </c15:formulaRef>
                      </c:ext>
                    </c:extLst>
                    <c:strCache>
                      <c:ptCount val="7"/>
                      <c:pt idx="0">
                        <c:v>     Medical Salary &amp; ERE</c:v>
                      </c:pt>
                      <c:pt idx="1">
                        <c:v>     CAPS Salary &amp; ERE</c:v>
                      </c:pt>
                      <c:pt idx="2">
                        <c:v>     Admin Salary &amp; ERE</c:v>
                      </c:pt>
                      <c:pt idx="3">
                        <c:v>     HPPS Salary &amp; ERE</c:v>
                      </c:pt>
                      <c:pt idx="4">
                        <c:v>     Operations                  </c:v>
                      </c:pt>
                      <c:pt idx="5">
                        <c:v>     Capital                            </c:v>
                      </c:pt>
                      <c:pt idx="6">
                        <c:v>     UA ASC Tax</c:v>
                      </c:pt>
                    </c:strCache>
                  </c:strRef>
                </c:cat>
                <c:val>
                  <c:numRef>
                    <c:extLst>
                      <c:ext uri="{02D57815-91ED-43cb-92C2-25804820EDAC}">
                        <c15:formulaRef>
                          <c15:sqref>'H&amp;R Exp Detail15.16 (2)'!$C$45:$C$50</c15:sqref>
                        </c15:formulaRef>
                      </c:ext>
                    </c:extLst>
                    <c:numCache>
                      <c:formatCode>"$"#,##0_);[Red]\("$"#,##0\)</c:formatCode>
                      <c:ptCount val="6"/>
                      <c:pt idx="0">
                        <c:v>2037500</c:v>
                      </c:pt>
                      <c:pt idx="1">
                        <c:v>1454500</c:v>
                      </c:pt>
                      <c:pt idx="2">
                        <c:v>1207950</c:v>
                      </c:pt>
                      <c:pt idx="3">
                        <c:v>366950</c:v>
                      </c:pt>
                      <c:pt idx="4">
                        <c:v>490600</c:v>
                      </c:pt>
                      <c:pt idx="5">
                        <c:v>50000</c:v>
                      </c:pt>
                    </c:numCache>
                  </c:numRef>
                </c:val>
              </c15:ser>
            </c15:filteredPieSeries>
          </c:ext>
        </c:extLst>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A05951E6</Template>
  <TotalTime>1</TotalTime>
  <Pages>2</Pages>
  <Words>539</Words>
  <Characters>3076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Arizona</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Kreutz</dc:creator>
  <cp:keywords/>
  <dc:description/>
  <cp:lastModifiedBy>Harry McDermott</cp:lastModifiedBy>
  <cp:revision>2</cp:revision>
  <dcterms:created xsi:type="dcterms:W3CDTF">2015-12-12T22:32:00Z</dcterms:created>
  <dcterms:modified xsi:type="dcterms:W3CDTF">2015-12-12T22:32:00Z</dcterms:modified>
</cp:coreProperties>
</file>